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41817" w14:textId="3C58E9A8" w:rsidR="000B581A" w:rsidRPr="005A5FA4" w:rsidRDefault="000B581A" w:rsidP="005A5FA4">
      <w:pPr>
        <w:pStyle w:val="Heading1"/>
        <w:pBdr>
          <w:bottom w:val="single" w:sz="4" w:space="1" w:color="auto"/>
        </w:pBdr>
        <w:spacing w:before="0"/>
        <w:jc w:val="right"/>
        <w:rPr>
          <w:rFonts w:ascii="Garamond" w:hAnsi="Garamond"/>
          <w:b w:val="0"/>
          <w:i/>
          <w:sz w:val="22"/>
          <w:szCs w:val="22"/>
        </w:rPr>
      </w:pPr>
      <w:bookmarkStart w:id="0" w:name="_Toc291431924"/>
      <w:bookmarkStart w:id="1" w:name="_Toc293315801"/>
      <w:bookmarkStart w:id="2" w:name="_GoBack"/>
      <w:bookmarkEnd w:id="2"/>
      <w:r w:rsidRPr="005A5FA4">
        <w:rPr>
          <w:rFonts w:ascii="Garamond" w:hAnsi="Garamond"/>
          <w:b w:val="0"/>
          <w:i/>
          <w:sz w:val="22"/>
          <w:szCs w:val="22"/>
        </w:rPr>
        <w:t>Draft 1</w:t>
      </w:r>
      <w:r w:rsidR="00B65D7D">
        <w:rPr>
          <w:rFonts w:ascii="Garamond" w:hAnsi="Garamond"/>
          <w:b w:val="0"/>
          <w:i/>
          <w:sz w:val="22"/>
          <w:szCs w:val="22"/>
        </w:rPr>
        <w:t>6</w:t>
      </w:r>
      <w:r w:rsidRPr="005A5FA4">
        <w:rPr>
          <w:rFonts w:ascii="Garamond" w:hAnsi="Garamond"/>
          <w:b w:val="0"/>
          <w:i/>
          <w:sz w:val="22"/>
          <w:szCs w:val="22"/>
        </w:rPr>
        <w:t xml:space="preserve"> Nov 2015</w:t>
      </w:r>
    </w:p>
    <w:p w14:paraId="5AFCFD3A" w14:textId="77777777" w:rsidR="00420838" w:rsidRPr="00535B49" w:rsidRDefault="00420838" w:rsidP="00420838">
      <w:pPr>
        <w:pStyle w:val="Heading1"/>
        <w:spacing w:before="0"/>
        <w:rPr>
          <w:rFonts w:ascii="Garamond" w:hAnsi="Garamond"/>
        </w:rPr>
      </w:pPr>
      <w:r>
        <w:rPr>
          <w:rFonts w:ascii="Garamond" w:hAnsi="Garamond"/>
        </w:rPr>
        <w:t xml:space="preserve">Annex 1 – </w:t>
      </w:r>
      <w:bookmarkEnd w:id="0"/>
      <w:r>
        <w:rPr>
          <w:rFonts w:ascii="Garamond" w:hAnsi="Garamond"/>
        </w:rPr>
        <w:t>Template for SWG reporting</w:t>
      </w:r>
      <w:bookmarkEnd w:id="1"/>
      <w:r>
        <w:rPr>
          <w:rFonts w:ascii="Garamond" w:hAnsi="Garamond"/>
        </w:rPr>
        <w:t xml:space="preserve"> </w:t>
      </w:r>
    </w:p>
    <w:p w14:paraId="368B6FDD" w14:textId="77777777" w:rsidR="00420838" w:rsidRDefault="00420838" w:rsidP="00420838">
      <w:pPr>
        <w:rPr>
          <w:rFonts w:ascii="Garamond" w:hAnsi="Garamond"/>
        </w:rPr>
      </w:pPr>
    </w:p>
    <w:tbl>
      <w:tblPr>
        <w:tblStyle w:val="TableGrid"/>
        <w:tblW w:w="0" w:type="auto"/>
        <w:tblInd w:w="108" w:type="dxa"/>
        <w:tblLook w:val="04A0" w:firstRow="1" w:lastRow="0" w:firstColumn="1" w:lastColumn="0" w:noHBand="0" w:noVBand="1"/>
      </w:tblPr>
      <w:tblGrid>
        <w:gridCol w:w="8942"/>
      </w:tblGrid>
      <w:tr w:rsidR="00420838" w14:paraId="15F31365" w14:textId="77777777" w:rsidTr="00106C74">
        <w:tc>
          <w:tcPr>
            <w:tcW w:w="8942" w:type="dxa"/>
          </w:tcPr>
          <w:p w14:paraId="1E4F4A4D" w14:textId="004EC226" w:rsidR="00420838" w:rsidRPr="00FA3C71" w:rsidRDefault="00420838" w:rsidP="00106C74">
            <w:pPr>
              <w:jc w:val="center"/>
              <w:rPr>
                <w:rFonts w:ascii="Garamond" w:hAnsi="Garamond"/>
                <w:b/>
              </w:rPr>
            </w:pPr>
            <w:r>
              <w:rPr>
                <w:rFonts w:ascii="Garamond" w:hAnsi="Garamond"/>
                <w:b/>
              </w:rPr>
              <w:t>Macroeconomic Working Group</w:t>
            </w:r>
          </w:p>
          <w:p w14:paraId="62E23DB8" w14:textId="77777777" w:rsidR="00420838" w:rsidRPr="00FA3C71" w:rsidRDefault="00420838" w:rsidP="00106C74">
            <w:pPr>
              <w:rPr>
                <w:rFonts w:ascii="Garamond" w:hAnsi="Garamond"/>
                <w:b/>
              </w:rPr>
            </w:pPr>
          </w:p>
          <w:p w14:paraId="1C669C34" w14:textId="77777777" w:rsidR="00420838" w:rsidRDefault="00420838" w:rsidP="00106C74">
            <w:pPr>
              <w:rPr>
                <w:rFonts w:ascii="Garamond" w:hAnsi="Garamond"/>
                <w:b/>
              </w:rPr>
            </w:pPr>
            <w:r w:rsidRPr="00FA3C71">
              <w:rPr>
                <w:rFonts w:ascii="Garamond" w:hAnsi="Garamond"/>
                <w:b/>
              </w:rPr>
              <w:t xml:space="preserve">Chair: </w:t>
            </w:r>
            <w:r>
              <w:rPr>
                <w:rFonts w:ascii="Garamond" w:hAnsi="Garamond"/>
                <w:b/>
              </w:rPr>
              <w:t xml:space="preserve">           Ministry of Planning and Investment</w:t>
            </w:r>
          </w:p>
          <w:p w14:paraId="278340FF" w14:textId="77777777" w:rsidR="00420838" w:rsidRDefault="00420838" w:rsidP="00106C74">
            <w:pPr>
              <w:rPr>
                <w:rFonts w:ascii="Garamond" w:hAnsi="Garamond"/>
                <w:b/>
              </w:rPr>
            </w:pPr>
          </w:p>
          <w:p w14:paraId="716142C3" w14:textId="77777777" w:rsidR="00420838" w:rsidRDefault="00420838" w:rsidP="00106C74">
            <w:pPr>
              <w:rPr>
                <w:rFonts w:ascii="Garamond" w:hAnsi="Garamond"/>
                <w:b/>
              </w:rPr>
            </w:pPr>
            <w:r>
              <w:rPr>
                <w:rFonts w:ascii="Garamond" w:hAnsi="Garamond"/>
                <w:b/>
              </w:rPr>
              <w:t>Co-chairs:     Asian Development Bank</w:t>
            </w:r>
          </w:p>
          <w:p w14:paraId="3B4B21A9" w14:textId="77777777" w:rsidR="00420838" w:rsidRPr="00FA3C71" w:rsidRDefault="00420838" w:rsidP="00106C74">
            <w:pPr>
              <w:rPr>
                <w:rFonts w:ascii="Garamond" w:hAnsi="Garamond"/>
                <w:b/>
              </w:rPr>
            </w:pPr>
            <w:r>
              <w:rPr>
                <w:rFonts w:ascii="Garamond" w:hAnsi="Garamond"/>
                <w:b/>
              </w:rPr>
              <w:t xml:space="preserve">                      World Bank Group</w:t>
            </w:r>
          </w:p>
          <w:p w14:paraId="4C571CBF" w14:textId="77777777" w:rsidR="00420838" w:rsidRPr="00FA3C71" w:rsidRDefault="00420838" w:rsidP="00106C74">
            <w:pPr>
              <w:rPr>
                <w:rFonts w:ascii="Garamond" w:hAnsi="Garamond"/>
                <w:b/>
              </w:rPr>
            </w:pPr>
          </w:p>
          <w:p w14:paraId="3AAB8A46" w14:textId="0AD9CB54" w:rsidR="00420838" w:rsidRDefault="00E46221" w:rsidP="0008784E">
            <w:pPr>
              <w:jc w:val="thaiDistribute"/>
              <w:rPr>
                <w:rFonts w:ascii="Garamond" w:hAnsi="Garamond"/>
              </w:rPr>
            </w:pPr>
            <w:r>
              <w:rPr>
                <w:rFonts w:ascii="Garamond" w:hAnsi="Garamond"/>
                <w:b/>
              </w:rPr>
              <w:t>M</w:t>
            </w:r>
            <w:r w:rsidR="00420838" w:rsidRPr="00FA3C71">
              <w:rPr>
                <w:rFonts w:ascii="Garamond" w:hAnsi="Garamond"/>
                <w:b/>
              </w:rPr>
              <w:t xml:space="preserve">WG key mandate: </w:t>
            </w:r>
            <w:r w:rsidR="00CE4A97">
              <w:rPr>
                <w:rFonts w:ascii="Garamond" w:hAnsi="Garamond"/>
                <w:b/>
              </w:rPr>
              <w:t xml:space="preserve">  </w:t>
            </w:r>
            <w:r>
              <w:rPr>
                <w:rFonts w:ascii="Garamond" w:hAnsi="Garamond"/>
                <w:b/>
              </w:rPr>
              <w:t>T</w:t>
            </w:r>
            <w:r w:rsidRPr="005A5FA4">
              <w:rPr>
                <w:rFonts w:ascii="Garamond" w:hAnsi="Garamond"/>
                <w:b/>
              </w:rPr>
              <w:t>he main purpose of the MWG is to bring together national and international partners to discuss development issues that affecting the macroeconomic situation of the country and possible policies and strategies for maintaining growth and macroeconomic stability.</w:t>
            </w:r>
          </w:p>
          <w:p w14:paraId="61E47F43" w14:textId="77777777" w:rsidR="00420838" w:rsidRPr="00B86340" w:rsidRDefault="00420838" w:rsidP="00106C74">
            <w:pPr>
              <w:rPr>
                <w:rFonts w:ascii="Garamond" w:hAnsi="Garamond"/>
              </w:rPr>
            </w:pPr>
          </w:p>
        </w:tc>
      </w:tr>
    </w:tbl>
    <w:p w14:paraId="293BCC4E" w14:textId="77777777" w:rsidR="00420838" w:rsidRDefault="00420838" w:rsidP="00420838">
      <w:pPr>
        <w:rPr>
          <w:rFonts w:ascii="Garamond" w:hAnsi="Garamond"/>
        </w:rPr>
      </w:pPr>
    </w:p>
    <w:p w14:paraId="7619922B" w14:textId="77777777" w:rsidR="00420838" w:rsidRDefault="00420838" w:rsidP="00420838">
      <w:pPr>
        <w:rPr>
          <w:rFonts w:ascii="Garamond" w:hAnsi="Garamond"/>
          <w:b/>
        </w:rPr>
      </w:pPr>
      <w:r w:rsidRPr="00FA3C71">
        <w:rPr>
          <w:rFonts w:ascii="Garamond" w:hAnsi="Garamond"/>
          <w:b/>
        </w:rPr>
        <w:t xml:space="preserve">I. Sector Overview </w:t>
      </w:r>
    </w:p>
    <w:p w14:paraId="4E09608D" w14:textId="77777777" w:rsidR="00420838" w:rsidRDefault="00420838" w:rsidP="00420838">
      <w:pPr>
        <w:rPr>
          <w:rFonts w:ascii="Garamond" w:hAnsi="Garamond"/>
        </w:rPr>
      </w:pPr>
    </w:p>
    <w:p w14:paraId="58C9CE79" w14:textId="77777777" w:rsidR="0035602D" w:rsidRDefault="0035602D" w:rsidP="0035602D">
      <w:pPr>
        <w:pStyle w:val="ListParagraph"/>
        <w:numPr>
          <w:ilvl w:val="1"/>
          <w:numId w:val="1"/>
        </w:numPr>
        <w:rPr>
          <w:rFonts w:ascii="Garamond" w:hAnsi="Garamond"/>
        </w:rPr>
      </w:pPr>
      <w:r w:rsidRPr="00FA3C71">
        <w:rPr>
          <w:rFonts w:ascii="Garamond" w:hAnsi="Garamond"/>
        </w:rPr>
        <w:t xml:space="preserve">Provide a brief </w:t>
      </w:r>
      <w:r>
        <w:rPr>
          <w:rFonts w:ascii="Garamond" w:hAnsi="Garamond"/>
        </w:rPr>
        <w:t xml:space="preserve">report </w:t>
      </w:r>
      <w:r w:rsidRPr="00FA3C71">
        <w:rPr>
          <w:rFonts w:ascii="Garamond" w:hAnsi="Garamond"/>
        </w:rPr>
        <w:t xml:space="preserve">of the sector </w:t>
      </w:r>
      <w:r>
        <w:rPr>
          <w:rFonts w:ascii="Garamond" w:hAnsi="Garamond"/>
        </w:rPr>
        <w:t>key interventions and achievement within 2015</w:t>
      </w:r>
    </w:p>
    <w:p w14:paraId="5102DC36" w14:textId="77777777" w:rsidR="0035602D" w:rsidRDefault="0035602D" w:rsidP="00420838">
      <w:pPr>
        <w:jc w:val="both"/>
        <w:rPr>
          <w:rFonts w:ascii="Garamond" w:hAnsi="Garamond"/>
        </w:rPr>
      </w:pPr>
    </w:p>
    <w:p w14:paraId="75C6DECD" w14:textId="289E3B5A" w:rsidR="00420838" w:rsidRDefault="00420838" w:rsidP="00420838">
      <w:pPr>
        <w:jc w:val="both"/>
        <w:rPr>
          <w:rFonts w:ascii="Garamond" w:hAnsi="Garamond"/>
        </w:rPr>
      </w:pPr>
      <w:r>
        <w:rPr>
          <w:rFonts w:ascii="Garamond" w:hAnsi="Garamond"/>
        </w:rPr>
        <w:t xml:space="preserve">Lao PDR has continued to grow strongly over the last year; however, not without challenges. GDP growth in FY14/15 is projected at around </w:t>
      </w:r>
      <w:r w:rsidR="00815083">
        <w:rPr>
          <w:rFonts w:ascii="Garamond" w:hAnsi="Garamond"/>
        </w:rPr>
        <w:t>7.5</w:t>
      </w:r>
      <w:r>
        <w:rPr>
          <w:rFonts w:ascii="Garamond" w:hAnsi="Garamond"/>
        </w:rPr>
        <w:t xml:space="preserve"> percent, a slight deceleration compared to earlier years; but nonetheless a formidable achievement</w:t>
      </w:r>
      <w:r w:rsidR="00F65950">
        <w:rPr>
          <w:rFonts w:ascii="Garamond" w:hAnsi="Garamond"/>
        </w:rPr>
        <w:t xml:space="preserve"> in the current external environment</w:t>
      </w:r>
      <w:r>
        <w:rPr>
          <w:rFonts w:ascii="Garamond" w:hAnsi="Garamond"/>
        </w:rPr>
        <w:t xml:space="preserve">. </w:t>
      </w:r>
      <w:r w:rsidR="006C538E">
        <w:rPr>
          <w:rFonts w:ascii="Garamond" w:hAnsi="Garamond"/>
        </w:rPr>
        <w:t>The slight deceleration of e</w:t>
      </w:r>
      <w:r>
        <w:rPr>
          <w:rFonts w:ascii="Garamond" w:hAnsi="Garamond"/>
        </w:rPr>
        <w:t>conomic activity has been influence</w:t>
      </w:r>
      <w:r w:rsidR="004C4118">
        <w:rPr>
          <w:rFonts w:ascii="Garamond" w:hAnsi="Garamond"/>
        </w:rPr>
        <w:t>d</w:t>
      </w:r>
      <w:r>
        <w:rPr>
          <w:rFonts w:ascii="Garamond" w:hAnsi="Garamond"/>
        </w:rPr>
        <w:t xml:space="preserve"> by lower prices for </w:t>
      </w:r>
      <w:r w:rsidR="004C4118">
        <w:rPr>
          <w:rFonts w:ascii="Garamond" w:hAnsi="Garamond"/>
        </w:rPr>
        <w:t xml:space="preserve">commodities, unfavorable </w:t>
      </w:r>
      <w:r w:rsidR="006C538E">
        <w:rPr>
          <w:rFonts w:ascii="Garamond" w:hAnsi="Garamond"/>
        </w:rPr>
        <w:t xml:space="preserve">weather conditions </w:t>
      </w:r>
      <w:r w:rsidR="00F65950">
        <w:rPr>
          <w:rFonts w:ascii="Garamond" w:hAnsi="Garamond"/>
        </w:rPr>
        <w:t xml:space="preserve">affecting output in agriculture, </w:t>
      </w:r>
      <w:r w:rsidR="006C538E">
        <w:rPr>
          <w:rFonts w:ascii="Garamond" w:hAnsi="Garamond"/>
        </w:rPr>
        <w:t>but also some fiscal consolidation as well as moderating in credit growth.</w:t>
      </w:r>
      <w:r w:rsidR="00F65950">
        <w:rPr>
          <w:rFonts w:ascii="Garamond" w:hAnsi="Garamond"/>
        </w:rPr>
        <w:t xml:space="preserve"> At the same time, investment in the power sector, commissioning of new installed capacity, continued expansion in real estate</w:t>
      </w:r>
      <w:r w:rsidR="00BD393F">
        <w:rPr>
          <w:rFonts w:ascii="Garamond" w:hAnsi="Garamond"/>
        </w:rPr>
        <w:t>,</w:t>
      </w:r>
      <w:r w:rsidR="00F65950">
        <w:rPr>
          <w:rFonts w:ascii="Garamond" w:hAnsi="Garamond"/>
        </w:rPr>
        <w:t xml:space="preserve"> </w:t>
      </w:r>
      <w:r w:rsidR="00BD393F">
        <w:rPr>
          <w:rFonts w:ascii="Garamond" w:hAnsi="Garamond"/>
        </w:rPr>
        <w:t xml:space="preserve">and </w:t>
      </w:r>
      <w:r w:rsidR="00F65950">
        <w:rPr>
          <w:rFonts w:ascii="Garamond" w:hAnsi="Garamond"/>
        </w:rPr>
        <w:t>tourism supported economic activity.</w:t>
      </w:r>
      <w:r w:rsidR="0050645B">
        <w:rPr>
          <w:rFonts w:ascii="Garamond" w:hAnsi="Garamond"/>
        </w:rPr>
        <w:t xml:space="preserve"> </w:t>
      </w:r>
      <w:r w:rsidR="00BD393F">
        <w:rPr>
          <w:rFonts w:ascii="Garamond" w:hAnsi="Garamond"/>
        </w:rPr>
        <w:t>A couple of emerging manufacturing sectors (assembly and parts and components), so far largely confined to couple of special economic zones, are also providing some dynamism. Slower</w:t>
      </w:r>
      <w:r w:rsidR="0050645B">
        <w:rPr>
          <w:rFonts w:ascii="Garamond" w:hAnsi="Garamond"/>
        </w:rPr>
        <w:t xml:space="preserve"> domestic demand and depressed oil prices reduce</w:t>
      </w:r>
      <w:r w:rsidR="00BD393F">
        <w:rPr>
          <w:rFonts w:ascii="Garamond" w:hAnsi="Garamond"/>
        </w:rPr>
        <w:t>d</w:t>
      </w:r>
      <w:r w:rsidR="0050645B">
        <w:rPr>
          <w:rFonts w:ascii="Garamond" w:hAnsi="Garamond"/>
        </w:rPr>
        <w:t xml:space="preserve"> pressures on the consumer price with average inflation in FY14/15</w:t>
      </w:r>
      <w:r w:rsidR="0012528F">
        <w:rPr>
          <w:rFonts w:ascii="Garamond" w:hAnsi="Garamond"/>
        </w:rPr>
        <w:t xml:space="preserve"> </w:t>
      </w:r>
      <w:r w:rsidR="0050645B">
        <w:rPr>
          <w:rFonts w:ascii="Garamond" w:hAnsi="Garamond"/>
        </w:rPr>
        <w:t>declining to 1.7 percent from 5.2 percent a year ago.</w:t>
      </w:r>
      <w:r w:rsidR="00BD393F">
        <w:rPr>
          <w:rFonts w:ascii="Garamond" w:hAnsi="Garamond"/>
        </w:rPr>
        <w:t xml:space="preserve"> The current account deficit is expected to widen slightly due to terms of trade adjustment and stronger enforcement of government regulations related to timber exports. Robust FDI inflows, but also rapid </w:t>
      </w:r>
      <w:r w:rsidR="0012528F">
        <w:rPr>
          <w:rFonts w:ascii="Garamond" w:hAnsi="Garamond"/>
        </w:rPr>
        <w:t xml:space="preserve">external </w:t>
      </w:r>
      <w:r w:rsidR="00BD393F">
        <w:rPr>
          <w:rFonts w:ascii="Garamond" w:hAnsi="Garamond"/>
        </w:rPr>
        <w:t>borrowing, helped finance the deficit and allowed for a slight increase in reserves</w:t>
      </w:r>
      <w:r w:rsidR="00DC59AE">
        <w:rPr>
          <w:rFonts w:ascii="Garamond" w:hAnsi="Garamond"/>
        </w:rPr>
        <w:t>, which was recorded at USD 1.1 billion in June 2015</w:t>
      </w:r>
      <w:r w:rsidR="00BD393F">
        <w:rPr>
          <w:rFonts w:ascii="Garamond" w:hAnsi="Garamond"/>
        </w:rPr>
        <w:t>. Despite this, a strong reserve cover may be needed to strengthen buffers, especially in the new less favorable external environment.</w:t>
      </w:r>
    </w:p>
    <w:p w14:paraId="695E60D8" w14:textId="77777777" w:rsidR="006C538E" w:rsidRDefault="006C538E" w:rsidP="00420838">
      <w:pPr>
        <w:jc w:val="both"/>
        <w:rPr>
          <w:rFonts w:ascii="Garamond" w:hAnsi="Garamond"/>
        </w:rPr>
      </w:pPr>
    </w:p>
    <w:p w14:paraId="64B640C4" w14:textId="3C49FDB9" w:rsidR="006C538E" w:rsidRDefault="006C538E" w:rsidP="00420838">
      <w:pPr>
        <w:jc w:val="both"/>
        <w:rPr>
          <w:rFonts w:ascii="Garamond" w:hAnsi="Garamond"/>
        </w:rPr>
      </w:pPr>
      <w:r>
        <w:rPr>
          <w:rFonts w:ascii="Garamond" w:hAnsi="Garamond"/>
        </w:rPr>
        <w:t xml:space="preserve">The country took further welcomed steps </w:t>
      </w:r>
      <w:r w:rsidR="00F65950">
        <w:rPr>
          <w:rFonts w:ascii="Garamond" w:hAnsi="Garamond"/>
        </w:rPr>
        <w:t>towards</w:t>
      </w:r>
      <w:r>
        <w:rPr>
          <w:rFonts w:ascii="Garamond" w:hAnsi="Garamond"/>
        </w:rPr>
        <w:t xml:space="preserve"> fiscal consolidation</w:t>
      </w:r>
      <w:r w:rsidR="00F65950">
        <w:rPr>
          <w:rFonts w:ascii="Garamond" w:hAnsi="Garamond"/>
        </w:rPr>
        <w:t>; however, the situation continues to require careful attention</w:t>
      </w:r>
      <w:r>
        <w:rPr>
          <w:rFonts w:ascii="Garamond" w:hAnsi="Garamond"/>
        </w:rPr>
        <w:t xml:space="preserve">. According to preliminary budget execution numbers, the deficit in FY14/15 was around </w:t>
      </w:r>
      <w:r w:rsidR="0012528F">
        <w:rPr>
          <w:rFonts w:ascii="Garamond" w:hAnsi="Garamond"/>
        </w:rPr>
        <w:t>4</w:t>
      </w:r>
      <w:r>
        <w:rPr>
          <w:rFonts w:ascii="Garamond" w:hAnsi="Garamond"/>
        </w:rPr>
        <w:t xml:space="preserve"> percent of GDP, below the target deficit of </w:t>
      </w:r>
      <w:r w:rsidR="0012528F">
        <w:rPr>
          <w:rFonts w:ascii="Garamond" w:hAnsi="Garamond"/>
        </w:rPr>
        <w:t>5.2</w:t>
      </w:r>
      <w:r>
        <w:rPr>
          <w:rFonts w:ascii="Garamond" w:hAnsi="Garamond"/>
        </w:rPr>
        <w:t xml:space="preserve"> percent of GDP. </w:t>
      </w:r>
      <w:r w:rsidR="00F65950">
        <w:rPr>
          <w:rFonts w:ascii="Garamond" w:hAnsi="Garamond"/>
        </w:rPr>
        <w:t xml:space="preserve">Revenues fell slightly below target </w:t>
      </w:r>
      <w:r w:rsidR="00C165A4">
        <w:rPr>
          <w:rFonts w:ascii="Garamond" w:hAnsi="Garamond"/>
        </w:rPr>
        <w:t xml:space="preserve">but still grew by </w:t>
      </w:r>
      <w:r w:rsidR="003B7A43">
        <w:rPr>
          <w:rFonts w:ascii="Garamond" w:hAnsi="Garamond"/>
        </w:rPr>
        <w:t>6</w:t>
      </w:r>
      <w:r w:rsidR="00C165A4">
        <w:rPr>
          <w:rFonts w:ascii="Garamond" w:hAnsi="Garamond"/>
        </w:rPr>
        <w:t xml:space="preserve"> percent from last fiscal year. I</w:t>
      </w:r>
      <w:r w:rsidR="00F65950">
        <w:rPr>
          <w:rFonts w:ascii="Garamond" w:hAnsi="Garamond"/>
        </w:rPr>
        <w:t xml:space="preserve">mproved collection of non-resource revenues was off-set by lower revenues from the mining sector and declining grants. </w:t>
      </w:r>
      <w:r w:rsidR="0060023D">
        <w:rPr>
          <w:rFonts w:ascii="Garamond" w:hAnsi="Garamond"/>
        </w:rPr>
        <w:t xml:space="preserve">Revenue measures include strengthening revenue administration, </w:t>
      </w:r>
      <w:r w:rsidR="00463822">
        <w:rPr>
          <w:rFonts w:ascii="Garamond" w:hAnsi="Garamond"/>
        </w:rPr>
        <w:t>inclu</w:t>
      </w:r>
      <w:r w:rsidR="00904798">
        <w:rPr>
          <w:rFonts w:ascii="Garamond" w:hAnsi="Garamond"/>
        </w:rPr>
        <w:t>ding reserves from oil revenues</w:t>
      </w:r>
      <w:r w:rsidR="00497024">
        <w:rPr>
          <w:rFonts w:ascii="Garamond" w:hAnsi="Garamond"/>
        </w:rPr>
        <w:t xml:space="preserve">; modernize customs </w:t>
      </w:r>
      <w:r w:rsidR="006A45A1">
        <w:rPr>
          <w:rFonts w:ascii="Garamond" w:hAnsi="Garamond"/>
        </w:rPr>
        <w:t>and tax collection systems</w:t>
      </w:r>
      <w:r w:rsidR="00904798">
        <w:rPr>
          <w:rFonts w:ascii="Garamond" w:hAnsi="Garamond"/>
        </w:rPr>
        <w:t>.</w:t>
      </w:r>
      <w:r w:rsidR="006218EA">
        <w:rPr>
          <w:rFonts w:ascii="Garamond" w:hAnsi="Garamond"/>
        </w:rPr>
        <w:t xml:space="preserve"> </w:t>
      </w:r>
      <w:r w:rsidR="00F65950">
        <w:rPr>
          <w:rFonts w:ascii="Garamond" w:hAnsi="Garamond"/>
        </w:rPr>
        <w:t>The continuation of the wage freeze and strict controls over current spending contained expenditures</w:t>
      </w:r>
      <w:r w:rsidR="00D70502">
        <w:rPr>
          <w:rFonts w:ascii="Garamond" w:hAnsi="Garamond"/>
        </w:rPr>
        <w:t>,</w:t>
      </w:r>
      <w:r w:rsidR="006218EA">
        <w:rPr>
          <w:rFonts w:ascii="Garamond" w:hAnsi="Garamond"/>
        </w:rPr>
        <w:t xml:space="preserve"> in the </w:t>
      </w:r>
      <w:r w:rsidR="00D70502">
        <w:rPr>
          <w:rFonts w:ascii="Garamond" w:hAnsi="Garamond"/>
        </w:rPr>
        <w:t xml:space="preserve">context of </w:t>
      </w:r>
      <w:r w:rsidR="006218EA">
        <w:rPr>
          <w:rFonts w:ascii="Garamond" w:hAnsi="Garamond"/>
        </w:rPr>
        <w:t>revenue shortfall</w:t>
      </w:r>
      <w:r w:rsidR="00F65950">
        <w:rPr>
          <w:rFonts w:ascii="Garamond" w:hAnsi="Garamond"/>
        </w:rPr>
        <w:t>.</w:t>
      </w:r>
      <w:r w:rsidR="0050645B">
        <w:rPr>
          <w:rFonts w:ascii="Garamond" w:hAnsi="Garamond"/>
        </w:rPr>
        <w:t xml:space="preserve"> </w:t>
      </w:r>
      <w:r>
        <w:rPr>
          <w:rFonts w:ascii="Garamond" w:hAnsi="Garamond"/>
        </w:rPr>
        <w:t xml:space="preserve">Still, despite the lower deficit, public debt continued to increase </w:t>
      </w:r>
      <w:r w:rsidR="0050645B">
        <w:rPr>
          <w:rFonts w:ascii="Garamond" w:hAnsi="Garamond"/>
        </w:rPr>
        <w:t>while the issue of public sector arrears</w:t>
      </w:r>
      <w:r>
        <w:rPr>
          <w:rFonts w:ascii="Garamond" w:hAnsi="Garamond"/>
        </w:rPr>
        <w:t xml:space="preserve"> </w:t>
      </w:r>
      <w:r w:rsidR="0050645B">
        <w:rPr>
          <w:rFonts w:ascii="Garamond" w:hAnsi="Garamond"/>
        </w:rPr>
        <w:t xml:space="preserve">towards the private sector continues to linger on. The authorities are committed to </w:t>
      </w:r>
      <w:r w:rsidR="0050645B">
        <w:rPr>
          <w:rFonts w:ascii="Garamond" w:hAnsi="Garamond"/>
        </w:rPr>
        <w:lastRenderedPageBreak/>
        <w:t xml:space="preserve">intensify efforts to increase revenue collection and contain expenditure in order to restore </w:t>
      </w:r>
      <w:r w:rsidR="006C5146">
        <w:rPr>
          <w:rFonts w:ascii="Garamond" w:hAnsi="Garamond"/>
        </w:rPr>
        <w:t>fiscal</w:t>
      </w:r>
      <w:r w:rsidR="0050645B">
        <w:rPr>
          <w:rFonts w:ascii="Garamond" w:hAnsi="Garamond"/>
        </w:rPr>
        <w:t xml:space="preserve"> </w:t>
      </w:r>
      <w:r w:rsidR="006C5146">
        <w:rPr>
          <w:rFonts w:ascii="Garamond" w:hAnsi="Garamond"/>
        </w:rPr>
        <w:t>sustainability prospects.</w:t>
      </w:r>
      <w:r w:rsidR="00163F95">
        <w:rPr>
          <w:rFonts w:ascii="Garamond" w:hAnsi="Garamond"/>
        </w:rPr>
        <w:t xml:space="preserve"> </w:t>
      </w:r>
      <w:r w:rsidR="00595447">
        <w:rPr>
          <w:rFonts w:ascii="Garamond" w:hAnsi="Garamond"/>
        </w:rPr>
        <w:t xml:space="preserve">For FY15/16, </w:t>
      </w:r>
      <w:r w:rsidR="00163F95">
        <w:rPr>
          <w:rFonts w:ascii="Garamond" w:hAnsi="Garamond"/>
        </w:rPr>
        <w:t xml:space="preserve">the authorities plan to </w:t>
      </w:r>
      <w:r w:rsidR="000333FC">
        <w:rPr>
          <w:rFonts w:ascii="Garamond" w:hAnsi="Garamond"/>
        </w:rPr>
        <w:t xml:space="preserve">improve revenue collection by increasing excise on vehicles and luxury goods and pilot electronic smart tax </w:t>
      </w:r>
      <w:r w:rsidR="00E907E5">
        <w:rPr>
          <w:rFonts w:ascii="Garamond" w:hAnsi="Garamond"/>
        </w:rPr>
        <w:t>at major border check points</w:t>
      </w:r>
      <w:r w:rsidR="00163F95">
        <w:rPr>
          <w:rFonts w:ascii="Garamond" w:hAnsi="Garamond"/>
        </w:rPr>
        <w:t>. P</w:t>
      </w:r>
      <w:r w:rsidR="00595447">
        <w:rPr>
          <w:rFonts w:ascii="Garamond" w:hAnsi="Garamond"/>
        </w:rPr>
        <w:t>ublic</w:t>
      </w:r>
      <w:r w:rsidR="00163F95">
        <w:rPr>
          <w:rFonts w:ascii="Garamond" w:hAnsi="Garamond"/>
        </w:rPr>
        <w:t xml:space="preserve"> </w:t>
      </w:r>
      <w:r w:rsidR="00595447">
        <w:rPr>
          <w:rFonts w:ascii="Garamond" w:hAnsi="Garamond"/>
        </w:rPr>
        <w:t>wage will be kept stable but the spending on social security contribution will increase to meet the commitment (8.5 percent of the base salary) as well as allowances for some students and retirees and disable groups</w:t>
      </w:r>
      <w:r w:rsidR="006053CA">
        <w:rPr>
          <w:rFonts w:ascii="Garamond" w:hAnsi="Garamond"/>
        </w:rPr>
        <w:t xml:space="preserve"> as well as non-wage recurrent spending</w:t>
      </w:r>
      <w:r w:rsidR="00595447">
        <w:rPr>
          <w:rFonts w:ascii="Garamond" w:hAnsi="Garamond"/>
        </w:rPr>
        <w:t>.</w:t>
      </w:r>
      <w:r w:rsidR="006053CA">
        <w:rPr>
          <w:rFonts w:ascii="Garamond" w:hAnsi="Garamond"/>
        </w:rPr>
        <w:t xml:space="preserve"> </w:t>
      </w:r>
      <w:r w:rsidR="00904798">
        <w:rPr>
          <w:rFonts w:ascii="Garamond" w:hAnsi="Garamond"/>
        </w:rPr>
        <w:t xml:space="preserve">To tackle the domestic </w:t>
      </w:r>
      <w:r w:rsidR="008C3A89">
        <w:rPr>
          <w:rFonts w:ascii="Garamond" w:hAnsi="Garamond"/>
        </w:rPr>
        <w:t xml:space="preserve">public </w:t>
      </w:r>
      <w:r w:rsidR="00904798">
        <w:rPr>
          <w:rFonts w:ascii="Garamond" w:hAnsi="Garamond"/>
        </w:rPr>
        <w:t xml:space="preserve">arrears, </w:t>
      </w:r>
      <w:r w:rsidR="008C3A89">
        <w:rPr>
          <w:rFonts w:ascii="Garamond" w:hAnsi="Garamond"/>
        </w:rPr>
        <w:t xml:space="preserve">which still </w:t>
      </w:r>
      <w:r w:rsidR="00464E62">
        <w:rPr>
          <w:rFonts w:ascii="Garamond" w:hAnsi="Garamond"/>
        </w:rPr>
        <w:t xml:space="preserve">poses </w:t>
      </w:r>
      <w:r w:rsidR="008C3A89">
        <w:rPr>
          <w:rFonts w:ascii="Garamond" w:hAnsi="Garamond"/>
        </w:rPr>
        <w:t xml:space="preserve">a challenge to fiscal sustainability, </w:t>
      </w:r>
      <w:r w:rsidR="00904798">
        <w:rPr>
          <w:rFonts w:ascii="Garamond" w:hAnsi="Garamond"/>
        </w:rPr>
        <w:t xml:space="preserve">a committee was established in early 2014 to assess the arrears status, and devise measures to address the pending outstanding and to prevent the new </w:t>
      </w:r>
      <w:r w:rsidR="00E46221">
        <w:rPr>
          <w:rFonts w:ascii="Garamond" w:hAnsi="Garamond"/>
        </w:rPr>
        <w:t>creation of arrears</w:t>
      </w:r>
      <w:r w:rsidR="00904798">
        <w:rPr>
          <w:rFonts w:ascii="Garamond" w:hAnsi="Garamond"/>
        </w:rPr>
        <w:t>.</w:t>
      </w:r>
      <w:r w:rsidR="00D70502">
        <w:rPr>
          <w:rFonts w:ascii="Garamond" w:hAnsi="Garamond"/>
        </w:rPr>
        <w:t xml:space="preserve"> </w:t>
      </w:r>
    </w:p>
    <w:p w14:paraId="3EDF9A89" w14:textId="77777777" w:rsidR="0050645B" w:rsidRDefault="0050645B" w:rsidP="00420838">
      <w:pPr>
        <w:jc w:val="both"/>
        <w:rPr>
          <w:rFonts w:ascii="Garamond" w:hAnsi="Garamond"/>
        </w:rPr>
      </w:pPr>
    </w:p>
    <w:p w14:paraId="233852DD" w14:textId="1F51A2F8" w:rsidR="0050645B" w:rsidRDefault="0050645B" w:rsidP="00420838">
      <w:pPr>
        <w:jc w:val="both"/>
        <w:rPr>
          <w:rFonts w:ascii="Garamond" w:hAnsi="Garamond"/>
        </w:rPr>
      </w:pPr>
      <w:r>
        <w:rPr>
          <w:rFonts w:ascii="Garamond" w:hAnsi="Garamond"/>
        </w:rPr>
        <w:t xml:space="preserve">Credit growth decelerated </w:t>
      </w:r>
      <w:r w:rsidR="006C5146">
        <w:rPr>
          <w:rFonts w:ascii="Garamond" w:hAnsi="Garamond"/>
        </w:rPr>
        <w:t xml:space="preserve">in response to fiscal developments, already stretched balance sheets in some banks (especially state-owned banks). By </w:t>
      </w:r>
      <w:r w:rsidR="008776D6">
        <w:rPr>
          <w:rFonts w:ascii="Garamond" w:hAnsi="Garamond"/>
        </w:rPr>
        <w:t xml:space="preserve">June </w:t>
      </w:r>
      <w:r w:rsidR="006C5146">
        <w:rPr>
          <w:rFonts w:ascii="Garamond" w:hAnsi="Garamond"/>
        </w:rPr>
        <w:t xml:space="preserve">2015, credit </w:t>
      </w:r>
      <w:r w:rsidR="002E2A2A">
        <w:rPr>
          <w:rFonts w:ascii="Garamond" w:hAnsi="Garamond"/>
        </w:rPr>
        <w:t xml:space="preserve">grew by </w:t>
      </w:r>
      <w:r>
        <w:rPr>
          <w:rFonts w:ascii="Garamond" w:hAnsi="Garamond"/>
        </w:rPr>
        <w:t xml:space="preserve">around </w:t>
      </w:r>
      <w:r w:rsidRPr="0008784E">
        <w:rPr>
          <w:rFonts w:ascii="Garamond" w:hAnsi="Garamond" w:cs="Times New Roman"/>
        </w:rPr>
        <w:t>1</w:t>
      </w:r>
      <w:r w:rsidR="00C225D2" w:rsidRPr="0008784E">
        <w:rPr>
          <w:rFonts w:ascii="Garamond" w:hAnsi="Garamond" w:cs="Times New Roman"/>
          <w:cs/>
          <w:lang w:bidi="lo-LA"/>
        </w:rPr>
        <w:t>1.25</w:t>
      </w:r>
      <w:r>
        <w:rPr>
          <w:rFonts w:ascii="Garamond" w:hAnsi="Garamond"/>
        </w:rPr>
        <w:t xml:space="preserve"> percent </w:t>
      </w:r>
      <w:r w:rsidR="002E2A2A">
        <w:rPr>
          <w:rFonts w:ascii="Garamond" w:hAnsi="Garamond"/>
        </w:rPr>
        <w:t xml:space="preserve">from last year, </w:t>
      </w:r>
      <w:r>
        <w:rPr>
          <w:rFonts w:ascii="Garamond" w:hAnsi="Garamond"/>
        </w:rPr>
        <w:t xml:space="preserve">prompting the authorities to take measures to stimulate </w:t>
      </w:r>
      <w:r w:rsidR="006C5146">
        <w:rPr>
          <w:rFonts w:ascii="Garamond" w:hAnsi="Garamond"/>
        </w:rPr>
        <w:t>credit for the small and medium size companies</w:t>
      </w:r>
      <w:r>
        <w:rPr>
          <w:rFonts w:ascii="Garamond" w:hAnsi="Garamond"/>
        </w:rPr>
        <w:t xml:space="preserve">. The discount rate </w:t>
      </w:r>
      <w:r w:rsidR="006C5146">
        <w:rPr>
          <w:rFonts w:ascii="Garamond" w:hAnsi="Garamond"/>
        </w:rPr>
        <w:t xml:space="preserve">was reduced by 50 basis points while caps (inflation-linked) were introduced on banks’ kip deposit and lending rates. Measures that strengthen the soundness of banks and improve their ability to efficiently assess loan applications and collect claims are likely to have a larger and more sustainable impact over access to finance. Non-performing loans </w:t>
      </w:r>
      <w:r w:rsidR="002E2A2A">
        <w:rPr>
          <w:rFonts w:ascii="Garamond" w:hAnsi="Garamond"/>
        </w:rPr>
        <w:t xml:space="preserve">of some weak banks </w:t>
      </w:r>
      <w:r w:rsidR="006C5146">
        <w:rPr>
          <w:rFonts w:ascii="Garamond" w:hAnsi="Garamond"/>
        </w:rPr>
        <w:t xml:space="preserve">have edged up while the capital adequacy of </w:t>
      </w:r>
      <w:r w:rsidR="00997181">
        <w:rPr>
          <w:rFonts w:ascii="Garamond" w:hAnsi="Garamond"/>
        </w:rPr>
        <w:t xml:space="preserve">those weak </w:t>
      </w:r>
      <w:r w:rsidR="006C5146">
        <w:rPr>
          <w:rFonts w:ascii="Garamond" w:hAnsi="Garamond"/>
        </w:rPr>
        <w:t>banks is below the legally required levels. Lao PDR undertook important reforms to improve credit information systems</w:t>
      </w:r>
      <w:r w:rsidR="00BD393F">
        <w:rPr>
          <w:rFonts w:ascii="Garamond" w:hAnsi="Garamond"/>
        </w:rPr>
        <w:t xml:space="preserve"> this year</w:t>
      </w:r>
      <w:r w:rsidR="006C5146">
        <w:rPr>
          <w:rFonts w:ascii="Garamond" w:hAnsi="Garamond"/>
        </w:rPr>
        <w:t xml:space="preserve">, </w:t>
      </w:r>
      <w:r w:rsidR="00BD393F">
        <w:rPr>
          <w:rFonts w:ascii="Garamond" w:hAnsi="Garamond"/>
        </w:rPr>
        <w:t xml:space="preserve">including </w:t>
      </w:r>
      <w:r w:rsidR="006C5146">
        <w:rPr>
          <w:rFonts w:ascii="Garamond" w:hAnsi="Garamond"/>
        </w:rPr>
        <w:t xml:space="preserve">expanding the coverage of </w:t>
      </w:r>
      <w:r w:rsidR="00BD393F">
        <w:rPr>
          <w:rFonts w:ascii="Garamond" w:hAnsi="Garamond"/>
        </w:rPr>
        <w:t>the credit registry and eliminating the threshold for the minimum size of loans to be included in the registry.</w:t>
      </w:r>
      <w:r w:rsidR="00012609">
        <w:rPr>
          <w:rFonts w:ascii="Garamond" w:hAnsi="Garamond"/>
        </w:rPr>
        <w:t xml:space="preserve"> To further improve its supervision capacity, the</w:t>
      </w:r>
      <w:r w:rsidR="008776D6">
        <w:rPr>
          <w:rFonts w:ascii="Garamond" w:hAnsi="Garamond"/>
        </w:rPr>
        <w:t xml:space="preserve"> Bank of Lao PDR, with </w:t>
      </w:r>
      <w:r w:rsidR="006A45A1">
        <w:rPr>
          <w:rFonts w:ascii="Garamond" w:hAnsi="Garamond"/>
        </w:rPr>
        <w:t xml:space="preserve">support </w:t>
      </w:r>
      <w:r w:rsidR="008776D6">
        <w:rPr>
          <w:rFonts w:ascii="Garamond" w:hAnsi="Garamond"/>
        </w:rPr>
        <w:t>from development partners, is working on improving prudential regulations (</w:t>
      </w:r>
      <w:r w:rsidR="00105715">
        <w:rPr>
          <w:rFonts w:ascii="Garamond" w:hAnsi="Garamond"/>
        </w:rPr>
        <w:t>loan classification</w:t>
      </w:r>
      <w:r w:rsidR="00B6336C">
        <w:rPr>
          <w:rFonts w:ascii="Garamond" w:hAnsi="Garamond"/>
        </w:rPr>
        <w:t xml:space="preserve"> and</w:t>
      </w:r>
      <w:r w:rsidR="00105715">
        <w:rPr>
          <w:rFonts w:ascii="Garamond" w:hAnsi="Garamond"/>
        </w:rPr>
        <w:t xml:space="preserve"> provisioning, capital adequacy requirements, licensing </w:t>
      </w:r>
      <w:r w:rsidR="00B6336C">
        <w:rPr>
          <w:rFonts w:ascii="Garamond" w:hAnsi="Garamond"/>
        </w:rPr>
        <w:t>and bank establishments)</w:t>
      </w:r>
      <w:r w:rsidR="00105715">
        <w:rPr>
          <w:rFonts w:ascii="Garamond" w:hAnsi="Garamond"/>
        </w:rPr>
        <w:t>; and introducing more risk-based supervision (upgrading financial soundness indicators);</w:t>
      </w:r>
      <w:r w:rsidR="00012609">
        <w:rPr>
          <w:rFonts w:ascii="Garamond" w:hAnsi="Garamond"/>
        </w:rPr>
        <w:t xml:space="preserve"> and</w:t>
      </w:r>
      <w:r w:rsidR="00105715">
        <w:rPr>
          <w:rFonts w:ascii="Garamond" w:hAnsi="Garamond"/>
        </w:rPr>
        <w:t xml:space="preserve"> initiating the process of reviewing commercial bank law. </w:t>
      </w:r>
      <w:r w:rsidR="00BD393F">
        <w:rPr>
          <w:rFonts w:ascii="Garamond" w:hAnsi="Garamond"/>
        </w:rPr>
        <w:t xml:space="preserve">Still, further improvements </w:t>
      </w:r>
      <w:r w:rsidR="00BD5231">
        <w:rPr>
          <w:rFonts w:ascii="Garamond" w:hAnsi="Garamond"/>
        </w:rPr>
        <w:t xml:space="preserve">and implementation capacity </w:t>
      </w:r>
      <w:r w:rsidR="00BD393F">
        <w:rPr>
          <w:rFonts w:ascii="Garamond" w:hAnsi="Garamond"/>
        </w:rPr>
        <w:t>are needed in the business environment and the authorities are committed to pursuing these reforms.</w:t>
      </w:r>
    </w:p>
    <w:p w14:paraId="42CF9AA3" w14:textId="77777777" w:rsidR="00BD393F" w:rsidRDefault="00BD393F" w:rsidP="00420838">
      <w:pPr>
        <w:jc w:val="both"/>
        <w:rPr>
          <w:rFonts w:ascii="Garamond" w:hAnsi="Garamond"/>
        </w:rPr>
      </w:pPr>
    </w:p>
    <w:p w14:paraId="316C3B74" w14:textId="42FF7189" w:rsidR="00BD393F" w:rsidRDefault="00BD393F" w:rsidP="00420838">
      <w:pPr>
        <w:jc w:val="both"/>
        <w:rPr>
          <w:rFonts w:ascii="Garamond" w:hAnsi="Garamond"/>
        </w:rPr>
      </w:pPr>
      <w:r>
        <w:rPr>
          <w:rFonts w:ascii="Garamond" w:hAnsi="Garamond"/>
        </w:rPr>
        <w:t xml:space="preserve">The authorities continued to tightly manage the exchange rate with the kip depreciating by only </w:t>
      </w:r>
      <w:r w:rsidR="0035602D" w:rsidRPr="0008784E">
        <w:rPr>
          <w:rFonts w:ascii="Times New Roman" w:hAnsi="Times New Roman" w:cs="Times New Roman"/>
        </w:rPr>
        <w:t>1.</w:t>
      </w:r>
      <w:r w:rsidR="00C225D2" w:rsidRPr="0008784E">
        <w:rPr>
          <w:rFonts w:ascii="Times New Roman" w:hAnsi="Times New Roman" w:cs="Times New Roman"/>
          <w:cs/>
          <w:lang w:bidi="lo-LA"/>
        </w:rPr>
        <w:t>11</w:t>
      </w:r>
      <w:r w:rsidR="0035602D">
        <w:rPr>
          <w:rFonts w:ascii="Garamond" w:hAnsi="Garamond"/>
        </w:rPr>
        <w:t xml:space="preserve"> percent against the US$ in FY14/15. While this helped keep inflation </w:t>
      </w:r>
      <w:r w:rsidR="00980619">
        <w:rPr>
          <w:rFonts w:ascii="Garamond" w:hAnsi="Garamond"/>
        </w:rPr>
        <w:t xml:space="preserve">manageable </w:t>
      </w:r>
      <w:r w:rsidR="0035602D">
        <w:rPr>
          <w:rFonts w:ascii="Garamond" w:hAnsi="Garamond"/>
        </w:rPr>
        <w:t xml:space="preserve">and limited risks in the financial sector, it also translated into a strong appreciation against regional currencies (i.e. by almost </w:t>
      </w:r>
      <w:r w:rsidR="00C225D2" w:rsidRPr="0008784E">
        <w:rPr>
          <w:rFonts w:ascii="Times New Roman" w:hAnsi="Times New Roman" w:cs="Times New Roman"/>
          <w:cs/>
          <w:lang w:bidi="lo-LA"/>
        </w:rPr>
        <w:t>2.29</w:t>
      </w:r>
      <w:r w:rsidR="0035602D">
        <w:rPr>
          <w:rFonts w:ascii="Garamond" w:hAnsi="Garamond"/>
        </w:rPr>
        <w:t xml:space="preserve"> percent against the Thai baht) and may have further challenged the competitiveness of domestic production and limited foreign exchange reserve accumulation.</w:t>
      </w:r>
    </w:p>
    <w:p w14:paraId="20319B9F" w14:textId="77777777" w:rsidR="00420838" w:rsidRDefault="00420838" w:rsidP="00420838">
      <w:pPr>
        <w:rPr>
          <w:rFonts w:ascii="Garamond" w:hAnsi="Garamond"/>
        </w:rPr>
      </w:pPr>
    </w:p>
    <w:p w14:paraId="2A2BEB5E" w14:textId="77777777" w:rsidR="0035602D" w:rsidRDefault="0035602D" w:rsidP="00420838">
      <w:pPr>
        <w:pStyle w:val="ListParagraph"/>
        <w:numPr>
          <w:ilvl w:val="1"/>
          <w:numId w:val="1"/>
        </w:numPr>
        <w:rPr>
          <w:rFonts w:ascii="Garamond" w:hAnsi="Garamond"/>
        </w:rPr>
      </w:pPr>
      <w:r>
        <w:rPr>
          <w:rFonts w:ascii="Garamond" w:hAnsi="Garamond"/>
        </w:rPr>
        <w:t>Activities of the Macroeconomic sector working group in 2015</w:t>
      </w:r>
    </w:p>
    <w:p w14:paraId="71F14F5C" w14:textId="77777777" w:rsidR="0035602D" w:rsidRDefault="0035602D" w:rsidP="0035602D">
      <w:pPr>
        <w:rPr>
          <w:rFonts w:ascii="Garamond" w:hAnsi="Garamond"/>
        </w:rPr>
      </w:pPr>
    </w:p>
    <w:p w14:paraId="517E70EF" w14:textId="77777777" w:rsidR="0035602D" w:rsidRDefault="0035602D" w:rsidP="0035602D">
      <w:pPr>
        <w:jc w:val="both"/>
        <w:rPr>
          <w:rFonts w:ascii="Garamond" w:hAnsi="Garamond"/>
        </w:rPr>
      </w:pPr>
      <w:r>
        <w:rPr>
          <w:rFonts w:ascii="Garamond" w:hAnsi="Garamond"/>
        </w:rPr>
        <w:t>Following a slow start of the year, including due to MPI’s engagement with the drafting of the 8</w:t>
      </w:r>
      <w:r w:rsidRPr="0035602D">
        <w:rPr>
          <w:rFonts w:ascii="Garamond" w:hAnsi="Garamond"/>
          <w:vertAlign w:val="superscript"/>
        </w:rPr>
        <w:t>th</w:t>
      </w:r>
      <w:r>
        <w:rPr>
          <w:rFonts w:ascii="Garamond" w:hAnsi="Garamond"/>
        </w:rPr>
        <w:t xml:space="preserve"> NSEPD and turnover among members of the SWG, the activities of the SWG intensified in the second half of the year. The SWG had three meetings: </w:t>
      </w:r>
      <w:r w:rsidR="00894E8C">
        <w:rPr>
          <w:rFonts w:ascii="Garamond" w:hAnsi="Garamond"/>
        </w:rPr>
        <w:t>one</w:t>
      </w:r>
      <w:r>
        <w:rPr>
          <w:rFonts w:ascii="Garamond" w:hAnsi="Garamond"/>
        </w:rPr>
        <w:t xml:space="preserve"> Technical level meeting</w:t>
      </w:r>
      <w:r w:rsidR="00894E8C">
        <w:rPr>
          <w:rFonts w:ascii="Garamond" w:hAnsi="Garamond"/>
        </w:rPr>
        <w:t xml:space="preserve"> (</w:t>
      </w:r>
      <w:r w:rsidR="00CE4A97">
        <w:rPr>
          <w:rFonts w:ascii="Garamond" w:hAnsi="Garamond"/>
        </w:rPr>
        <w:t>on April 30, 2015</w:t>
      </w:r>
      <w:r w:rsidR="00894E8C">
        <w:rPr>
          <w:rFonts w:ascii="Garamond" w:hAnsi="Garamond"/>
        </w:rPr>
        <w:t xml:space="preserve">) and two </w:t>
      </w:r>
      <w:r>
        <w:rPr>
          <w:rFonts w:ascii="Garamond" w:hAnsi="Garamond"/>
        </w:rPr>
        <w:t>Executive level meeting</w:t>
      </w:r>
      <w:r w:rsidR="00894E8C">
        <w:rPr>
          <w:rFonts w:ascii="Garamond" w:hAnsi="Garamond"/>
        </w:rPr>
        <w:t xml:space="preserve">s (on July 15, 2015 and on </w:t>
      </w:r>
      <w:r w:rsidR="00894E8C" w:rsidRPr="005A5FA4">
        <w:rPr>
          <w:rFonts w:ascii="Garamond" w:hAnsi="Garamond"/>
        </w:rPr>
        <w:t>November 12, 2015</w:t>
      </w:r>
      <w:r w:rsidR="00894E8C">
        <w:rPr>
          <w:rFonts w:ascii="Garamond" w:hAnsi="Garamond"/>
        </w:rPr>
        <w:t>)</w:t>
      </w:r>
      <w:r>
        <w:rPr>
          <w:rFonts w:ascii="Garamond" w:hAnsi="Garamond"/>
        </w:rPr>
        <w:t>. All three meetings were financed by the Asian Development Bank for which the SWG is grateful. The MPI Secretariat, jointly with key staff in ADB and the World Bank, ensured effective organization of the events.</w:t>
      </w:r>
    </w:p>
    <w:p w14:paraId="7ABF6C0B" w14:textId="77777777" w:rsidR="0035602D" w:rsidRDefault="0035602D" w:rsidP="0035602D">
      <w:pPr>
        <w:jc w:val="both"/>
        <w:rPr>
          <w:rFonts w:ascii="Garamond" w:hAnsi="Garamond"/>
        </w:rPr>
      </w:pPr>
    </w:p>
    <w:p w14:paraId="1CA0DF6E" w14:textId="71880E65" w:rsidR="0035602D" w:rsidRDefault="0035602D" w:rsidP="0035602D">
      <w:pPr>
        <w:jc w:val="both"/>
        <w:rPr>
          <w:rFonts w:ascii="Garamond" w:hAnsi="Garamond"/>
        </w:rPr>
      </w:pPr>
      <w:r>
        <w:rPr>
          <w:rFonts w:ascii="Garamond" w:hAnsi="Garamond"/>
        </w:rPr>
        <w:t xml:space="preserve">The SWG continues to be a vital forum for exchanging information on recent economic development, challenges and prospects. In this vein, at all meetings, representatives of various government agencies, most notably the MPI, Ministry of Finance and Bank of Lao PDR provided </w:t>
      </w:r>
      <w:r>
        <w:rPr>
          <w:rFonts w:ascii="Garamond" w:hAnsi="Garamond"/>
        </w:rPr>
        <w:lastRenderedPageBreak/>
        <w:t xml:space="preserve">information of </w:t>
      </w:r>
      <w:r w:rsidR="00894E8C">
        <w:rPr>
          <w:rFonts w:ascii="Garamond" w:hAnsi="Garamond"/>
        </w:rPr>
        <w:t>latest fiscal and monetary sector developments as well as ongoing and planned sectoral policies.</w:t>
      </w:r>
      <w:r w:rsidR="00ED50A6">
        <w:rPr>
          <w:rFonts w:ascii="Garamond" w:hAnsi="Garamond"/>
        </w:rPr>
        <w:t xml:space="preserve"> This provided an opportunity for development partners to better understand developments in the economy. In addition, the SWG heard from the MPI on the progress with the preparation of the 8</w:t>
      </w:r>
      <w:r w:rsidR="00ED50A6" w:rsidRPr="00ED50A6">
        <w:rPr>
          <w:rFonts w:ascii="Garamond" w:hAnsi="Garamond"/>
          <w:vertAlign w:val="superscript"/>
        </w:rPr>
        <w:t>th</w:t>
      </w:r>
      <w:r w:rsidR="00ED50A6">
        <w:rPr>
          <w:rFonts w:ascii="Garamond" w:hAnsi="Garamond"/>
        </w:rPr>
        <w:t xml:space="preserve"> NSEDP and the macro</w:t>
      </w:r>
      <w:r w:rsidR="00012609">
        <w:rPr>
          <w:rFonts w:ascii="Garamond" w:hAnsi="Garamond"/>
        </w:rPr>
        <w:t>-</w:t>
      </w:r>
      <w:r w:rsidR="00ED50A6">
        <w:rPr>
          <w:rFonts w:ascii="Garamond" w:hAnsi="Garamond"/>
        </w:rPr>
        <w:t>fiscal framework underpinning the plan</w:t>
      </w:r>
      <w:r w:rsidR="00C97A20">
        <w:rPr>
          <w:rFonts w:ascii="Garamond" w:hAnsi="Garamond"/>
        </w:rPr>
        <w:t xml:space="preserve"> </w:t>
      </w:r>
      <w:r w:rsidR="00ED50A6">
        <w:rPr>
          <w:rFonts w:ascii="Garamond" w:hAnsi="Garamond"/>
        </w:rPr>
        <w:t xml:space="preserve">and </w:t>
      </w:r>
      <w:r w:rsidR="003D6013">
        <w:rPr>
          <w:rFonts w:ascii="Garamond" w:hAnsi="Garamond"/>
        </w:rPr>
        <w:t xml:space="preserve">its financing plan as well as </w:t>
      </w:r>
      <w:r w:rsidR="00ED50A6">
        <w:rPr>
          <w:rFonts w:ascii="Garamond" w:hAnsi="Garamond"/>
        </w:rPr>
        <w:t xml:space="preserve">the Ministry of Education and Sports on the drafting of the new Human Resource Development Strategy. The </w:t>
      </w:r>
      <w:r w:rsidR="00CE4A97">
        <w:rPr>
          <w:rFonts w:ascii="Garamond" w:hAnsi="Garamond"/>
        </w:rPr>
        <w:t>SWG was also useful in identifying overlaps in activities covered under different activities.</w:t>
      </w:r>
      <w:r w:rsidR="00C97A20">
        <w:rPr>
          <w:rFonts w:ascii="Garamond" w:hAnsi="Garamond"/>
        </w:rPr>
        <w:t xml:space="preserve"> </w:t>
      </w:r>
      <w:r w:rsidR="003D6013">
        <w:rPr>
          <w:rFonts w:ascii="Garamond" w:hAnsi="Garamond"/>
        </w:rPr>
        <w:t xml:space="preserve">Recently, </w:t>
      </w:r>
      <w:r w:rsidR="003D6013" w:rsidRPr="005A5FA4">
        <w:rPr>
          <w:rFonts w:ascii="Garamond" w:hAnsi="Garamond"/>
        </w:rPr>
        <w:t>t</w:t>
      </w:r>
      <w:r w:rsidR="00C97A20" w:rsidRPr="005A5FA4">
        <w:rPr>
          <w:rFonts w:ascii="Garamond" w:hAnsi="Garamond"/>
        </w:rPr>
        <w:t>he</w:t>
      </w:r>
      <w:r w:rsidR="003D6013" w:rsidRPr="005A5FA4">
        <w:rPr>
          <w:rFonts w:ascii="Garamond" w:hAnsi="Garamond"/>
        </w:rPr>
        <w:t xml:space="preserve"> </w:t>
      </w:r>
      <w:r w:rsidR="00C97A20" w:rsidRPr="005A5FA4">
        <w:rPr>
          <w:rFonts w:ascii="Garamond" w:hAnsi="Garamond"/>
        </w:rPr>
        <w:t xml:space="preserve">World Bank presented an analysis of the sources of growth, its inclusiveness and risks to sustainability and the Lao Statistics Office share the </w:t>
      </w:r>
      <w:r w:rsidR="00611EF7">
        <w:rPr>
          <w:rFonts w:ascii="Garamond" w:hAnsi="Garamond"/>
        </w:rPr>
        <w:t xml:space="preserve">progress </w:t>
      </w:r>
      <w:r w:rsidR="001409EF">
        <w:rPr>
          <w:rFonts w:ascii="Garamond" w:hAnsi="Garamond"/>
        </w:rPr>
        <w:t xml:space="preserve">of </w:t>
      </w:r>
      <w:r w:rsidR="00C97A20" w:rsidRPr="005A5FA4">
        <w:rPr>
          <w:rFonts w:ascii="Garamond" w:hAnsi="Garamond"/>
        </w:rPr>
        <w:t xml:space="preserve">the 2015 </w:t>
      </w:r>
      <w:r w:rsidR="001409EF">
        <w:rPr>
          <w:rFonts w:ascii="Garamond" w:hAnsi="Garamond"/>
        </w:rPr>
        <w:t xml:space="preserve">Population </w:t>
      </w:r>
      <w:r w:rsidR="00C97A20" w:rsidRPr="005A5FA4">
        <w:rPr>
          <w:rFonts w:ascii="Garamond" w:hAnsi="Garamond"/>
        </w:rPr>
        <w:t>Census</w:t>
      </w:r>
      <w:r w:rsidR="00611EF7">
        <w:rPr>
          <w:rFonts w:ascii="Garamond" w:hAnsi="Garamond"/>
        </w:rPr>
        <w:t>, of which preliminary results will be announced in early December</w:t>
      </w:r>
      <w:r w:rsidR="00334B8D">
        <w:rPr>
          <w:rFonts w:ascii="Garamond" w:hAnsi="Garamond"/>
        </w:rPr>
        <w:t xml:space="preserve"> 2015</w:t>
      </w:r>
      <w:r w:rsidR="003D6013">
        <w:rPr>
          <w:rFonts w:ascii="Garamond" w:hAnsi="Garamond"/>
        </w:rPr>
        <w:t xml:space="preserve">.  </w:t>
      </w:r>
    </w:p>
    <w:p w14:paraId="62A83522" w14:textId="77777777" w:rsidR="00894E8C" w:rsidRDefault="00894E8C" w:rsidP="0035602D">
      <w:pPr>
        <w:jc w:val="both"/>
        <w:rPr>
          <w:rFonts w:ascii="Garamond" w:hAnsi="Garamond"/>
        </w:rPr>
      </w:pPr>
    </w:p>
    <w:p w14:paraId="6A0B3FB4" w14:textId="77777777" w:rsidR="00CE4A97" w:rsidRDefault="00894E8C" w:rsidP="0035602D">
      <w:pPr>
        <w:jc w:val="both"/>
        <w:rPr>
          <w:rFonts w:ascii="Garamond" w:hAnsi="Garamond"/>
        </w:rPr>
      </w:pPr>
      <w:r>
        <w:rPr>
          <w:rFonts w:ascii="Garamond" w:hAnsi="Garamond"/>
        </w:rPr>
        <w:t>The key members of the SWG believe that going forward, a greater focus on development priorities can make the SWG an even more important contributor to the debate on macroeconomic issues in Lao PDR.</w:t>
      </w:r>
      <w:r w:rsidR="00ED50A6">
        <w:rPr>
          <w:rFonts w:ascii="Garamond" w:hAnsi="Garamond"/>
        </w:rPr>
        <w:t xml:space="preserve"> </w:t>
      </w:r>
    </w:p>
    <w:p w14:paraId="4C97BAE0" w14:textId="0B9D37EC" w:rsidR="00CE4A97" w:rsidRDefault="00CE4A97" w:rsidP="00CE4A97">
      <w:pPr>
        <w:pStyle w:val="ListParagraph"/>
        <w:numPr>
          <w:ilvl w:val="0"/>
          <w:numId w:val="2"/>
        </w:numPr>
        <w:jc w:val="both"/>
        <w:rPr>
          <w:rFonts w:ascii="Garamond" w:hAnsi="Garamond"/>
        </w:rPr>
      </w:pPr>
      <w:r>
        <w:rPr>
          <w:rFonts w:ascii="Garamond" w:hAnsi="Garamond"/>
        </w:rPr>
        <w:t xml:space="preserve">SWG members </w:t>
      </w:r>
      <w:r w:rsidR="00C97A20">
        <w:rPr>
          <w:rFonts w:ascii="Garamond" w:hAnsi="Garamond"/>
        </w:rPr>
        <w:t xml:space="preserve">appreciated the </w:t>
      </w:r>
      <w:r>
        <w:rPr>
          <w:rFonts w:ascii="Garamond" w:hAnsi="Garamond"/>
        </w:rPr>
        <w:t xml:space="preserve">usefulness of the SWG as a mechanism to share information, </w:t>
      </w:r>
      <w:r w:rsidR="00C97A20">
        <w:rPr>
          <w:rFonts w:ascii="Garamond" w:hAnsi="Garamond"/>
        </w:rPr>
        <w:t xml:space="preserve">but noted that in many cases it is insufficient </w:t>
      </w:r>
      <w:r>
        <w:rPr>
          <w:rFonts w:ascii="Garamond" w:hAnsi="Garamond"/>
        </w:rPr>
        <w:t xml:space="preserve">to fully address the demands of stakeholders and development partners, while </w:t>
      </w:r>
      <w:r w:rsidR="00C97A20">
        <w:rPr>
          <w:rFonts w:ascii="Garamond" w:hAnsi="Garamond"/>
        </w:rPr>
        <w:t>the</w:t>
      </w:r>
      <w:r>
        <w:rPr>
          <w:rFonts w:ascii="Garamond" w:hAnsi="Garamond"/>
        </w:rPr>
        <w:t xml:space="preserve"> availability </w:t>
      </w:r>
      <w:r w:rsidR="00C97A20">
        <w:rPr>
          <w:rFonts w:ascii="Garamond" w:hAnsi="Garamond"/>
        </w:rPr>
        <w:t xml:space="preserve">of data </w:t>
      </w:r>
      <w:r>
        <w:rPr>
          <w:rFonts w:ascii="Garamond" w:hAnsi="Garamond"/>
        </w:rPr>
        <w:t>from other sources remains limited (i.e. budget execution information for FY13/14 has not been yet published, neither has been the approved budget for FY15/16. This has a considerable implication for a number of development partners; a number of whom have explicit requirements for public access to budget information in order to continue to provide support to Lao PDR. In this regard, the SWG urges all involved parties to increase the availability of data and information.</w:t>
      </w:r>
    </w:p>
    <w:p w14:paraId="73E8FF16" w14:textId="77777777" w:rsidR="00C97A20" w:rsidRDefault="00C97A20" w:rsidP="00CE4A97">
      <w:pPr>
        <w:pStyle w:val="ListParagraph"/>
        <w:numPr>
          <w:ilvl w:val="0"/>
          <w:numId w:val="2"/>
        </w:numPr>
        <w:jc w:val="both"/>
        <w:rPr>
          <w:rFonts w:ascii="Garamond" w:hAnsi="Garamond"/>
        </w:rPr>
      </w:pPr>
      <w:r w:rsidRPr="00CE4A97">
        <w:rPr>
          <w:rFonts w:ascii="Garamond" w:hAnsi="Garamond"/>
        </w:rPr>
        <w:t>Greater public availability of fiscal and monetary indicators, would allow the SWG to allocate more time and attention to discussion of the underlying development challenges related to the macroeconomic environment in the country.</w:t>
      </w:r>
      <w:r>
        <w:rPr>
          <w:rFonts w:ascii="Garamond" w:hAnsi="Garamond"/>
        </w:rPr>
        <w:t xml:space="preserve"> The SWG would welcome a more strategic discussion on critical macroeconomic interventions, including for example strengthening the public financial management framework, improving the monetary policy transmission mechanism</w:t>
      </w:r>
      <w:r w:rsidR="00012609">
        <w:rPr>
          <w:rFonts w:ascii="Garamond" w:hAnsi="Garamond"/>
        </w:rPr>
        <w:t>,</w:t>
      </w:r>
      <w:r>
        <w:rPr>
          <w:rFonts w:ascii="Garamond" w:hAnsi="Garamond"/>
        </w:rPr>
        <w:t xml:space="preserve"> etc. Development partners re-iterate their commitment to continue to assist the Lao PDR authorities and provide assistance as needed.</w:t>
      </w:r>
    </w:p>
    <w:p w14:paraId="4C8ED56B" w14:textId="77777777" w:rsidR="00CE4A97" w:rsidRPr="00CE4A97" w:rsidRDefault="00CE4A97" w:rsidP="00CE4A97">
      <w:pPr>
        <w:pStyle w:val="ListParagraph"/>
        <w:numPr>
          <w:ilvl w:val="0"/>
          <w:numId w:val="2"/>
        </w:numPr>
        <w:jc w:val="both"/>
        <w:rPr>
          <w:rFonts w:ascii="Garamond" w:hAnsi="Garamond"/>
        </w:rPr>
      </w:pPr>
      <w:r w:rsidRPr="00CE4A97">
        <w:rPr>
          <w:rFonts w:ascii="Garamond" w:hAnsi="Garamond"/>
        </w:rPr>
        <w:t xml:space="preserve">To strengthen the links with the RTM/RTIM process, the SWG agree to introduce a regular review of the progress in implementing the agreed measures and meeting the expected outcomes of the RTIM follow-up matrix. </w:t>
      </w:r>
      <w:r>
        <w:rPr>
          <w:rFonts w:ascii="Garamond" w:hAnsi="Garamond"/>
        </w:rPr>
        <w:t>This will allow for continuous monitoring of the macroeconomic environment and timely identification of challenges</w:t>
      </w:r>
      <w:r w:rsidR="00C97A20">
        <w:rPr>
          <w:rFonts w:ascii="Garamond" w:hAnsi="Garamond"/>
        </w:rPr>
        <w:t xml:space="preserve"> and appropriate policy responses</w:t>
      </w:r>
      <w:r>
        <w:rPr>
          <w:rFonts w:ascii="Garamond" w:hAnsi="Garamond"/>
        </w:rPr>
        <w:t>.</w:t>
      </w:r>
    </w:p>
    <w:p w14:paraId="1E9E4F67" w14:textId="77777777" w:rsidR="00894E8C" w:rsidRPr="00CE4A97" w:rsidRDefault="00CE4A97" w:rsidP="00CE4A97">
      <w:pPr>
        <w:pStyle w:val="ListParagraph"/>
        <w:numPr>
          <w:ilvl w:val="0"/>
          <w:numId w:val="2"/>
        </w:numPr>
        <w:jc w:val="both"/>
        <w:rPr>
          <w:rFonts w:ascii="Garamond" w:hAnsi="Garamond"/>
        </w:rPr>
      </w:pPr>
      <w:r w:rsidRPr="00CE4A97">
        <w:rPr>
          <w:rFonts w:ascii="Garamond" w:hAnsi="Garamond"/>
        </w:rPr>
        <w:t xml:space="preserve">Reflecting the </w:t>
      </w:r>
      <w:r>
        <w:rPr>
          <w:rFonts w:ascii="Garamond" w:hAnsi="Garamond"/>
        </w:rPr>
        <w:t xml:space="preserve">extensive </w:t>
      </w:r>
      <w:r w:rsidRPr="00CE4A97">
        <w:rPr>
          <w:rFonts w:ascii="Garamond" w:hAnsi="Garamond"/>
        </w:rPr>
        <w:t>c</w:t>
      </w:r>
      <w:r>
        <w:rPr>
          <w:rFonts w:ascii="Garamond" w:hAnsi="Garamond"/>
        </w:rPr>
        <w:t>ross-sector linkages between macroeconomic development and various sectors; the SWG proposed to more closely involve other SWGs in the activities of the macroeconomic SWG. This should also be helpful to other SWGs as they can get better access of information on budget issues and allocation</w:t>
      </w:r>
      <w:r w:rsidR="00C97A20">
        <w:rPr>
          <w:rFonts w:ascii="Garamond" w:hAnsi="Garamond"/>
        </w:rPr>
        <w:t xml:space="preserve"> and can help avoid overlap and duplication of activities</w:t>
      </w:r>
      <w:r>
        <w:rPr>
          <w:rFonts w:ascii="Garamond" w:hAnsi="Garamond"/>
        </w:rPr>
        <w:t>.</w:t>
      </w:r>
    </w:p>
    <w:p w14:paraId="3A58DA9D" w14:textId="77777777" w:rsidR="00420838" w:rsidRDefault="00420838" w:rsidP="00420838">
      <w:pPr>
        <w:pStyle w:val="ListParagraph"/>
        <w:rPr>
          <w:rFonts w:ascii="Garamond" w:hAnsi="Garamond"/>
        </w:rPr>
      </w:pPr>
    </w:p>
    <w:p w14:paraId="7DC79BB6" w14:textId="77777777" w:rsidR="00420838" w:rsidRDefault="00420838" w:rsidP="00420838">
      <w:pPr>
        <w:rPr>
          <w:rFonts w:ascii="Garamond" w:hAnsi="Garamond"/>
          <w:b/>
        </w:rPr>
      </w:pPr>
      <w:r w:rsidRPr="00FA3C71">
        <w:rPr>
          <w:rFonts w:ascii="Garamond" w:hAnsi="Garamond"/>
          <w:b/>
        </w:rPr>
        <w:t xml:space="preserve">II. Overview </w:t>
      </w:r>
      <w:r>
        <w:rPr>
          <w:rFonts w:ascii="Garamond" w:hAnsi="Garamond"/>
          <w:b/>
        </w:rPr>
        <w:t xml:space="preserve">of FY 2014/2015 Sector Performance </w:t>
      </w:r>
    </w:p>
    <w:p w14:paraId="6DAD9DC9" w14:textId="77777777" w:rsidR="006A45A1" w:rsidRDefault="00420838" w:rsidP="00420838">
      <w:pPr>
        <w:rPr>
          <w:rFonts w:ascii="Garamond" w:hAnsi="Garamond"/>
          <w:i/>
        </w:rPr>
      </w:pPr>
      <w:r>
        <w:rPr>
          <w:rFonts w:ascii="Garamond" w:hAnsi="Garamond"/>
          <w:i/>
        </w:rPr>
        <w:t>Please note, as a snapshot of the 7</w:t>
      </w:r>
      <w:r w:rsidRPr="00B86340">
        <w:rPr>
          <w:rFonts w:ascii="Garamond" w:hAnsi="Garamond"/>
          <w:i/>
          <w:vertAlign w:val="superscript"/>
        </w:rPr>
        <w:t>th</w:t>
      </w:r>
      <w:r>
        <w:rPr>
          <w:rFonts w:ascii="Garamond" w:hAnsi="Garamond"/>
          <w:i/>
        </w:rPr>
        <w:t xml:space="preserve"> NSEDP achievements and challenges is prepared by Department of Planning/Ministry of Planning and Investment (reporting against substantive indicators),</w:t>
      </w:r>
      <w:r w:rsidRPr="00616EF3">
        <w:rPr>
          <w:rFonts w:ascii="Garamond" w:hAnsi="Garamond"/>
          <w:i/>
        </w:rPr>
        <w:t xml:space="preserve"> SWGs are</w:t>
      </w:r>
      <w:r>
        <w:rPr>
          <w:rFonts w:ascii="Garamond" w:hAnsi="Garamond"/>
          <w:i/>
        </w:rPr>
        <w:t xml:space="preserve"> only</w:t>
      </w:r>
      <w:r w:rsidRPr="00616EF3">
        <w:rPr>
          <w:rFonts w:ascii="Garamond" w:hAnsi="Garamond"/>
          <w:i/>
        </w:rPr>
        <w:t xml:space="preserve"> required to report against process indicators</w:t>
      </w:r>
      <w:r>
        <w:rPr>
          <w:rFonts w:ascii="Garamond" w:hAnsi="Garamond"/>
          <w:i/>
        </w:rPr>
        <w:t xml:space="preserve"> highlighted in the previous year RTM/RTIM follow up matrix</w:t>
      </w:r>
      <w:r w:rsidRPr="00616EF3">
        <w:rPr>
          <w:rFonts w:ascii="Garamond" w:hAnsi="Garamond"/>
          <w:i/>
        </w:rPr>
        <w:t xml:space="preserve">. </w:t>
      </w:r>
      <w:r>
        <w:rPr>
          <w:rFonts w:ascii="Garamond" w:hAnsi="Garamond"/>
          <w:i/>
        </w:rPr>
        <w:t>However, an analysis from the findings can be briefly provided</w:t>
      </w:r>
    </w:p>
    <w:p w14:paraId="388B0DD9" w14:textId="77777777" w:rsidR="006A45A1" w:rsidRDefault="006A45A1" w:rsidP="005A5FA4">
      <w:r>
        <w:br w:type="page"/>
      </w:r>
    </w:p>
    <w:p w14:paraId="499F11FA" w14:textId="77777777" w:rsidR="0062094E" w:rsidRDefault="0062094E" w:rsidP="00420838">
      <w:pPr>
        <w:rPr>
          <w:rFonts w:ascii="Garamond" w:hAnsi="Garamond"/>
          <w:i/>
        </w:rPr>
        <w:sectPr w:rsidR="0062094E">
          <w:pgSz w:w="12240" w:h="15840"/>
          <w:pgMar w:top="1440" w:right="1440" w:bottom="1440" w:left="1440" w:header="720" w:footer="720" w:gutter="0"/>
          <w:cols w:space="720"/>
          <w:docGrid w:linePitch="360"/>
        </w:sectPr>
      </w:pPr>
    </w:p>
    <w:tbl>
      <w:tblPr>
        <w:tblStyle w:val="TableGrid"/>
        <w:tblW w:w="13599" w:type="dxa"/>
        <w:tblInd w:w="108" w:type="dxa"/>
        <w:tblLook w:val="04A0" w:firstRow="1" w:lastRow="0" w:firstColumn="1" w:lastColumn="0" w:noHBand="0" w:noVBand="1"/>
      </w:tblPr>
      <w:tblGrid>
        <w:gridCol w:w="2699"/>
        <w:gridCol w:w="3038"/>
        <w:gridCol w:w="1276"/>
        <w:gridCol w:w="2324"/>
        <w:gridCol w:w="2250"/>
        <w:gridCol w:w="2012"/>
      </w:tblGrid>
      <w:tr w:rsidR="00E74F3E" w:rsidRPr="00DD2B43" w14:paraId="2A93EEBB" w14:textId="77777777" w:rsidTr="005A5FA4">
        <w:trPr>
          <w:tblHeader/>
        </w:trPr>
        <w:tc>
          <w:tcPr>
            <w:tcW w:w="2699" w:type="dxa"/>
            <w:shd w:val="clear" w:color="auto" w:fill="B3B3B3"/>
          </w:tcPr>
          <w:p w14:paraId="76817CFB" w14:textId="77777777" w:rsidR="00E74F3E" w:rsidRPr="00DD2B43" w:rsidRDefault="00E74F3E" w:rsidP="000F69E6">
            <w:pPr>
              <w:rPr>
                <w:rFonts w:ascii="Garamond" w:hAnsi="Garamond"/>
                <w:sz w:val="20"/>
                <w:szCs w:val="20"/>
              </w:rPr>
            </w:pPr>
            <w:r w:rsidRPr="00DD2B43">
              <w:rPr>
                <w:rFonts w:ascii="Garamond" w:hAnsi="Garamond"/>
                <w:b/>
                <w:sz w:val="20"/>
                <w:szCs w:val="20"/>
              </w:rPr>
              <w:lastRenderedPageBreak/>
              <w:t xml:space="preserve">Sector outputs and activities </w:t>
            </w:r>
            <w:r w:rsidRPr="00DD2B43">
              <w:rPr>
                <w:rFonts w:ascii="Garamond" w:hAnsi="Garamond"/>
                <w:sz w:val="20"/>
                <w:szCs w:val="20"/>
              </w:rPr>
              <w:t xml:space="preserve">(Reporting against process indicators as per the 2014 RTM/RTIM follow up matrix and some other related activities as appropriate) </w:t>
            </w:r>
          </w:p>
          <w:p w14:paraId="60A4AF3B" w14:textId="77777777" w:rsidR="00E74F3E" w:rsidRPr="00DD2B43" w:rsidRDefault="00E74F3E" w:rsidP="000F69E6">
            <w:pPr>
              <w:rPr>
                <w:rFonts w:ascii="Garamond" w:hAnsi="Garamond"/>
                <w:b/>
                <w:sz w:val="20"/>
                <w:szCs w:val="20"/>
              </w:rPr>
            </w:pPr>
          </w:p>
        </w:tc>
        <w:tc>
          <w:tcPr>
            <w:tcW w:w="3038" w:type="dxa"/>
            <w:shd w:val="clear" w:color="auto" w:fill="B3B3B3"/>
          </w:tcPr>
          <w:p w14:paraId="28E342A0" w14:textId="77777777" w:rsidR="00E74F3E" w:rsidRPr="00DD2B43" w:rsidRDefault="00E74F3E" w:rsidP="000F69E6">
            <w:pPr>
              <w:rPr>
                <w:rFonts w:ascii="Garamond" w:hAnsi="Garamond" w:cs="Arial"/>
                <w:b/>
                <w:sz w:val="20"/>
                <w:szCs w:val="20"/>
              </w:rPr>
            </w:pPr>
            <w:r>
              <w:rPr>
                <w:rFonts w:ascii="Garamond" w:hAnsi="Garamond" w:cs="Arial"/>
                <w:b/>
                <w:sz w:val="20"/>
                <w:szCs w:val="20"/>
              </w:rPr>
              <w:t>Indicators</w:t>
            </w:r>
          </w:p>
        </w:tc>
        <w:tc>
          <w:tcPr>
            <w:tcW w:w="1276" w:type="dxa"/>
            <w:shd w:val="clear" w:color="auto" w:fill="B3B3B3"/>
          </w:tcPr>
          <w:p w14:paraId="317FC5F3" w14:textId="77777777" w:rsidR="00E74F3E" w:rsidRPr="00DD2B43" w:rsidRDefault="00E74F3E" w:rsidP="000F69E6">
            <w:pPr>
              <w:rPr>
                <w:rFonts w:ascii="Garamond" w:hAnsi="Garamond"/>
                <w:b/>
                <w:sz w:val="20"/>
                <w:szCs w:val="20"/>
              </w:rPr>
            </w:pPr>
            <w:r w:rsidRPr="00DD2B43">
              <w:rPr>
                <w:rFonts w:ascii="Garamond" w:hAnsi="Garamond" w:cs="Arial"/>
                <w:b/>
                <w:sz w:val="20"/>
                <w:szCs w:val="20"/>
              </w:rPr>
              <w:t>Responsible Agency (</w:t>
            </w:r>
            <w:proofErr w:type="spellStart"/>
            <w:r w:rsidRPr="00DD2B43">
              <w:rPr>
                <w:rFonts w:ascii="Garamond" w:hAnsi="Garamond" w:cs="Arial"/>
                <w:b/>
                <w:sz w:val="20"/>
                <w:szCs w:val="20"/>
              </w:rPr>
              <w:t>ies</w:t>
            </w:r>
            <w:proofErr w:type="spellEnd"/>
            <w:r w:rsidRPr="00DD2B43">
              <w:rPr>
                <w:rFonts w:ascii="Garamond" w:hAnsi="Garamond" w:cs="Arial"/>
                <w:b/>
                <w:sz w:val="20"/>
                <w:szCs w:val="20"/>
              </w:rPr>
              <w:t>)</w:t>
            </w:r>
          </w:p>
        </w:tc>
        <w:tc>
          <w:tcPr>
            <w:tcW w:w="2324" w:type="dxa"/>
            <w:shd w:val="clear" w:color="auto" w:fill="B3B3B3"/>
          </w:tcPr>
          <w:p w14:paraId="0DD9BC3E" w14:textId="77777777" w:rsidR="00E74F3E" w:rsidRPr="00DD2B43" w:rsidRDefault="00E74F3E" w:rsidP="000F69E6">
            <w:pPr>
              <w:rPr>
                <w:rFonts w:ascii="Garamond" w:hAnsi="Garamond"/>
                <w:b/>
                <w:sz w:val="20"/>
                <w:szCs w:val="20"/>
              </w:rPr>
            </w:pPr>
            <w:r w:rsidRPr="00DD2B43">
              <w:rPr>
                <w:rFonts w:ascii="Garamond" w:hAnsi="Garamond"/>
                <w:b/>
                <w:sz w:val="20"/>
                <w:szCs w:val="20"/>
              </w:rPr>
              <w:t xml:space="preserve">Progress </w:t>
            </w:r>
          </w:p>
          <w:p w14:paraId="75175C81" w14:textId="77777777" w:rsidR="00E74F3E" w:rsidRPr="00DD2B43" w:rsidRDefault="00E74F3E" w:rsidP="000F69E6">
            <w:pPr>
              <w:rPr>
                <w:rFonts w:ascii="Garamond" w:hAnsi="Garamond"/>
                <w:b/>
                <w:sz w:val="20"/>
                <w:szCs w:val="20"/>
              </w:rPr>
            </w:pPr>
          </w:p>
        </w:tc>
        <w:tc>
          <w:tcPr>
            <w:tcW w:w="2250" w:type="dxa"/>
            <w:shd w:val="clear" w:color="auto" w:fill="B3B3B3"/>
          </w:tcPr>
          <w:p w14:paraId="1C44B3BB" w14:textId="77777777" w:rsidR="00E74F3E" w:rsidRPr="00DD2B43" w:rsidRDefault="00E74F3E" w:rsidP="000F69E6">
            <w:pPr>
              <w:rPr>
                <w:rFonts w:ascii="Garamond" w:hAnsi="Garamond"/>
                <w:b/>
                <w:sz w:val="20"/>
                <w:szCs w:val="20"/>
              </w:rPr>
            </w:pPr>
            <w:r w:rsidRPr="00DD2B43">
              <w:rPr>
                <w:rFonts w:ascii="Garamond" w:hAnsi="Garamond"/>
                <w:b/>
                <w:sz w:val="20"/>
                <w:szCs w:val="20"/>
              </w:rPr>
              <w:t xml:space="preserve">Challenges and measures </w:t>
            </w:r>
          </w:p>
          <w:p w14:paraId="12AFD1F2" w14:textId="77777777" w:rsidR="00E74F3E" w:rsidRPr="00DD2B43" w:rsidRDefault="00E74F3E" w:rsidP="000F69E6">
            <w:pPr>
              <w:rPr>
                <w:rFonts w:ascii="Garamond" w:hAnsi="Garamond"/>
                <w:b/>
                <w:sz w:val="20"/>
                <w:szCs w:val="20"/>
              </w:rPr>
            </w:pPr>
          </w:p>
        </w:tc>
        <w:tc>
          <w:tcPr>
            <w:tcW w:w="2012" w:type="dxa"/>
            <w:shd w:val="clear" w:color="auto" w:fill="B3B3B3"/>
          </w:tcPr>
          <w:p w14:paraId="7E15EF8D" w14:textId="77777777" w:rsidR="00E74F3E" w:rsidRPr="00DD2B43" w:rsidRDefault="00E74F3E" w:rsidP="000F69E6">
            <w:pPr>
              <w:rPr>
                <w:rFonts w:ascii="Garamond" w:hAnsi="Garamond"/>
                <w:b/>
                <w:sz w:val="20"/>
                <w:szCs w:val="20"/>
              </w:rPr>
            </w:pPr>
            <w:r w:rsidRPr="00DD2B43">
              <w:rPr>
                <w:rFonts w:ascii="Garamond" w:hAnsi="Garamond"/>
                <w:b/>
                <w:sz w:val="20"/>
                <w:szCs w:val="20"/>
              </w:rPr>
              <w:t xml:space="preserve">Key messages to inform discussions during the HL RTM </w:t>
            </w:r>
          </w:p>
        </w:tc>
      </w:tr>
      <w:tr w:rsidR="0095404C" w:rsidRPr="00DD2B43" w14:paraId="40E25FA3" w14:textId="77777777" w:rsidTr="005A5FA4">
        <w:tc>
          <w:tcPr>
            <w:tcW w:w="13599" w:type="dxa"/>
            <w:gridSpan w:val="6"/>
            <w:shd w:val="clear" w:color="auto" w:fill="auto"/>
          </w:tcPr>
          <w:p w14:paraId="083A552D" w14:textId="77777777" w:rsidR="0095404C" w:rsidRPr="00DD2B43" w:rsidRDefault="0095404C" w:rsidP="000F69E6">
            <w:pPr>
              <w:rPr>
                <w:rFonts w:ascii="Garamond" w:hAnsi="Garamond"/>
                <w:b/>
                <w:sz w:val="20"/>
                <w:szCs w:val="20"/>
              </w:rPr>
            </w:pPr>
            <w:r w:rsidRPr="00DD2B43">
              <w:rPr>
                <w:rFonts w:ascii="Garamond" w:hAnsi="Garamond" w:cs="Times New Roman"/>
                <w:b/>
                <w:sz w:val="20"/>
                <w:szCs w:val="20"/>
              </w:rPr>
              <w:t xml:space="preserve">I. Macroeconomic management and growth </w:t>
            </w:r>
          </w:p>
        </w:tc>
      </w:tr>
      <w:tr w:rsidR="0095404C" w:rsidRPr="00DD2B43" w14:paraId="5E712737" w14:textId="77777777" w:rsidTr="005A5FA4">
        <w:tc>
          <w:tcPr>
            <w:tcW w:w="13599" w:type="dxa"/>
            <w:gridSpan w:val="6"/>
            <w:shd w:val="clear" w:color="auto" w:fill="auto"/>
          </w:tcPr>
          <w:p w14:paraId="477BC436" w14:textId="77777777" w:rsidR="0095404C" w:rsidRPr="00C36071" w:rsidRDefault="0095404C" w:rsidP="00E74F3E">
            <w:pPr>
              <w:rPr>
                <w:rFonts w:ascii="Garamond" w:eastAsiaTheme="minorEastAsia" w:hAnsi="Garamond"/>
                <w:i/>
                <w:sz w:val="20"/>
                <w:szCs w:val="20"/>
              </w:rPr>
            </w:pPr>
            <w:r>
              <w:rPr>
                <w:rFonts w:ascii="Garamond" w:hAnsi="Garamond"/>
                <w:sz w:val="20"/>
                <w:szCs w:val="20"/>
              </w:rPr>
              <w:t>I.</w:t>
            </w:r>
            <w:r w:rsidRPr="00C36071">
              <w:rPr>
                <w:rFonts w:ascii="Garamond" w:hAnsi="Garamond"/>
                <w:sz w:val="20"/>
                <w:szCs w:val="20"/>
              </w:rPr>
              <w:t>1. The pace of growth needs to be balanced with macro-economic stability and address issues of sustainability and equity.</w:t>
            </w:r>
            <w:r w:rsidRPr="00C36071">
              <w:rPr>
                <w:rFonts w:ascii="Garamond" w:hAnsi="Garamond"/>
                <w:i/>
                <w:sz w:val="20"/>
                <w:szCs w:val="20"/>
              </w:rPr>
              <w:t xml:space="preserve"> </w:t>
            </w:r>
          </w:p>
          <w:p w14:paraId="722316D8" w14:textId="77777777" w:rsidR="0095404C" w:rsidRPr="00C36071" w:rsidRDefault="0095404C" w:rsidP="00E74F3E">
            <w:pPr>
              <w:pStyle w:val="ListParagraph"/>
              <w:numPr>
                <w:ilvl w:val="0"/>
                <w:numId w:val="3"/>
              </w:numPr>
              <w:ind w:left="459"/>
              <w:rPr>
                <w:rFonts w:ascii="Garamond" w:eastAsiaTheme="minorEastAsia" w:hAnsi="Garamond"/>
                <w:sz w:val="20"/>
                <w:szCs w:val="20"/>
              </w:rPr>
            </w:pPr>
            <w:r w:rsidRPr="00C36071">
              <w:rPr>
                <w:rFonts w:ascii="Garamond" w:hAnsi="Garamond"/>
                <w:sz w:val="20"/>
                <w:szCs w:val="20"/>
              </w:rPr>
              <w:t xml:space="preserve">Continued high level of economic growth with low inflation </w:t>
            </w:r>
          </w:p>
          <w:p w14:paraId="47304465" w14:textId="77777777" w:rsidR="0095404C" w:rsidRPr="005A5FA4" w:rsidRDefault="0095404C" w:rsidP="005A5FA4">
            <w:pPr>
              <w:pStyle w:val="ListParagraph"/>
              <w:numPr>
                <w:ilvl w:val="0"/>
                <w:numId w:val="3"/>
              </w:numPr>
              <w:ind w:left="459"/>
              <w:rPr>
                <w:rFonts w:ascii="Garamond" w:hAnsi="Garamond"/>
                <w:b/>
                <w:sz w:val="20"/>
                <w:szCs w:val="20"/>
              </w:rPr>
            </w:pPr>
            <w:r w:rsidRPr="00C36071">
              <w:rPr>
                <w:rFonts w:ascii="Garamond" w:hAnsi="Garamond"/>
                <w:sz w:val="20"/>
                <w:szCs w:val="20"/>
              </w:rPr>
              <w:t>Ensure an efficient budgeting and planning process</w:t>
            </w:r>
          </w:p>
          <w:p w14:paraId="21BCAE23" w14:textId="77777777" w:rsidR="0095404C" w:rsidRPr="00DD2B43" w:rsidRDefault="0095404C" w:rsidP="005A5FA4">
            <w:pPr>
              <w:pStyle w:val="ListParagraph"/>
              <w:numPr>
                <w:ilvl w:val="0"/>
                <w:numId w:val="3"/>
              </w:numPr>
              <w:ind w:left="459"/>
              <w:rPr>
                <w:rFonts w:ascii="Garamond" w:hAnsi="Garamond"/>
                <w:b/>
                <w:sz w:val="20"/>
                <w:szCs w:val="20"/>
              </w:rPr>
            </w:pPr>
            <w:r w:rsidRPr="00C36071">
              <w:rPr>
                <w:rFonts w:ascii="Garamond" w:hAnsi="Garamond"/>
                <w:sz w:val="20"/>
                <w:szCs w:val="20"/>
              </w:rPr>
              <w:t>Address issues of corruption and revenue collection from tax reform</w:t>
            </w:r>
          </w:p>
        </w:tc>
      </w:tr>
      <w:tr w:rsidR="00E74F3E" w:rsidRPr="00DD2B43" w14:paraId="7D2F3631" w14:textId="77777777" w:rsidTr="005A5FA4">
        <w:tc>
          <w:tcPr>
            <w:tcW w:w="2699" w:type="dxa"/>
            <w:shd w:val="clear" w:color="auto" w:fill="auto"/>
          </w:tcPr>
          <w:p w14:paraId="35FA5328" w14:textId="77777777" w:rsidR="00E74F3E" w:rsidRPr="001175F9" w:rsidRDefault="00E74F3E" w:rsidP="00E74F3E">
            <w:pPr>
              <w:pStyle w:val="ListParagraph"/>
              <w:numPr>
                <w:ilvl w:val="1"/>
                <w:numId w:val="4"/>
              </w:numPr>
              <w:rPr>
                <w:rFonts w:ascii="Garamond" w:eastAsiaTheme="minorEastAsia" w:hAnsi="Garamond"/>
                <w:sz w:val="20"/>
                <w:szCs w:val="20"/>
                <w:lang w:bidi="th-TH"/>
              </w:rPr>
            </w:pPr>
            <w:r>
              <w:rPr>
                <w:rFonts w:ascii="Garamond" w:hAnsi="Garamond"/>
                <w:sz w:val="20"/>
                <w:szCs w:val="20"/>
                <w:lang w:bidi="th-TH"/>
              </w:rPr>
              <w:t xml:space="preserve">Strengthened capacity for macroeconomic and fiscal management </w:t>
            </w:r>
          </w:p>
          <w:p w14:paraId="5F54E7C4" w14:textId="77777777" w:rsidR="00E74F3E" w:rsidRDefault="00E74F3E" w:rsidP="00E74F3E">
            <w:pPr>
              <w:pStyle w:val="ListParagraph"/>
              <w:ind w:left="371"/>
              <w:rPr>
                <w:rFonts w:ascii="Garamond" w:eastAsiaTheme="minorEastAsia" w:hAnsi="Garamond"/>
                <w:sz w:val="20"/>
                <w:szCs w:val="20"/>
                <w:lang w:bidi="th-TH"/>
              </w:rPr>
            </w:pPr>
          </w:p>
          <w:p w14:paraId="574C39EC" w14:textId="77777777" w:rsidR="00E74F3E" w:rsidRDefault="00E74F3E" w:rsidP="00E74F3E">
            <w:pPr>
              <w:pStyle w:val="ListParagraph"/>
              <w:ind w:left="371"/>
              <w:rPr>
                <w:rFonts w:ascii="Garamond" w:eastAsiaTheme="minorEastAsia" w:hAnsi="Garamond"/>
                <w:sz w:val="20"/>
                <w:szCs w:val="20"/>
                <w:lang w:bidi="th-TH"/>
              </w:rPr>
            </w:pPr>
          </w:p>
          <w:p w14:paraId="2256E5E8" w14:textId="77777777" w:rsidR="00E74F3E" w:rsidRDefault="00E74F3E" w:rsidP="00E74F3E">
            <w:pPr>
              <w:pStyle w:val="ListParagraph"/>
              <w:ind w:left="371"/>
              <w:rPr>
                <w:rFonts w:ascii="Garamond" w:eastAsiaTheme="minorEastAsia" w:hAnsi="Garamond"/>
                <w:sz w:val="20"/>
                <w:szCs w:val="20"/>
                <w:lang w:bidi="th-TH"/>
              </w:rPr>
            </w:pPr>
          </w:p>
          <w:p w14:paraId="7ABEC095" w14:textId="77777777" w:rsidR="00E74F3E" w:rsidRDefault="00E74F3E" w:rsidP="00E74F3E">
            <w:pPr>
              <w:pStyle w:val="ListParagraph"/>
              <w:ind w:left="371"/>
              <w:rPr>
                <w:rFonts w:ascii="Garamond" w:eastAsiaTheme="minorEastAsia" w:hAnsi="Garamond"/>
                <w:sz w:val="20"/>
                <w:szCs w:val="20"/>
                <w:lang w:bidi="th-TH"/>
              </w:rPr>
            </w:pPr>
          </w:p>
          <w:p w14:paraId="02EF0307" w14:textId="77777777" w:rsidR="00E74F3E" w:rsidRDefault="00E74F3E" w:rsidP="00E74F3E">
            <w:pPr>
              <w:pStyle w:val="ListParagraph"/>
              <w:ind w:left="371"/>
              <w:rPr>
                <w:rFonts w:ascii="Garamond" w:eastAsiaTheme="minorEastAsia" w:hAnsi="Garamond"/>
                <w:sz w:val="20"/>
                <w:szCs w:val="20"/>
                <w:lang w:bidi="th-TH"/>
              </w:rPr>
            </w:pPr>
          </w:p>
          <w:p w14:paraId="2653D06D" w14:textId="77777777" w:rsidR="0095404C" w:rsidRDefault="0095404C" w:rsidP="00E74F3E">
            <w:pPr>
              <w:pStyle w:val="ListParagraph"/>
              <w:ind w:left="371"/>
              <w:rPr>
                <w:rFonts w:ascii="Garamond" w:eastAsiaTheme="minorEastAsia" w:hAnsi="Garamond"/>
                <w:sz w:val="20"/>
                <w:szCs w:val="20"/>
                <w:lang w:bidi="th-TH"/>
              </w:rPr>
            </w:pPr>
          </w:p>
          <w:p w14:paraId="786FB7DE" w14:textId="77777777" w:rsidR="0095404C" w:rsidRDefault="0095404C" w:rsidP="00E74F3E">
            <w:pPr>
              <w:pStyle w:val="ListParagraph"/>
              <w:ind w:left="371"/>
              <w:rPr>
                <w:rFonts w:ascii="Garamond" w:eastAsiaTheme="minorEastAsia" w:hAnsi="Garamond"/>
                <w:sz w:val="20"/>
                <w:szCs w:val="20"/>
                <w:lang w:bidi="th-TH"/>
              </w:rPr>
            </w:pPr>
          </w:p>
          <w:p w14:paraId="70EDC16C" w14:textId="77777777" w:rsidR="00E74F3E" w:rsidRPr="001175F9" w:rsidRDefault="00E74F3E" w:rsidP="00E74F3E">
            <w:pPr>
              <w:pStyle w:val="ListParagraph"/>
              <w:numPr>
                <w:ilvl w:val="1"/>
                <w:numId w:val="4"/>
              </w:numPr>
              <w:rPr>
                <w:rFonts w:ascii="Garamond" w:eastAsiaTheme="minorEastAsia" w:hAnsi="Garamond"/>
                <w:sz w:val="20"/>
                <w:szCs w:val="20"/>
                <w:lang w:bidi="th-TH"/>
              </w:rPr>
            </w:pPr>
            <w:r w:rsidRPr="001175F9">
              <w:rPr>
                <w:rFonts w:ascii="Garamond" w:hAnsi="Garamond" w:cs="DokChampa"/>
                <w:sz w:val="20"/>
                <w:szCs w:val="20"/>
                <w:lang w:bidi="lo-LA"/>
              </w:rPr>
              <w:t>Provision of quarterly economic data</w:t>
            </w:r>
            <w:r>
              <w:rPr>
                <w:rFonts w:ascii="Garamond" w:hAnsi="Garamond" w:cs="DokChampa"/>
                <w:sz w:val="20"/>
                <w:szCs w:val="20"/>
                <w:lang w:bidi="lo-LA"/>
              </w:rPr>
              <w:t xml:space="preserve"> (budget execution, public debt, monetary date, financial sector stability indicators).</w:t>
            </w:r>
          </w:p>
          <w:p w14:paraId="6C223D26" w14:textId="77777777" w:rsidR="00E74F3E" w:rsidRDefault="00E74F3E" w:rsidP="00E74F3E">
            <w:pPr>
              <w:pStyle w:val="ListParagraph"/>
              <w:ind w:left="371"/>
              <w:rPr>
                <w:rFonts w:ascii="Garamond" w:eastAsiaTheme="minorEastAsia" w:hAnsi="Garamond"/>
                <w:sz w:val="20"/>
                <w:szCs w:val="20"/>
                <w:lang w:bidi="th-TH"/>
              </w:rPr>
            </w:pPr>
          </w:p>
          <w:p w14:paraId="7890D0D0" w14:textId="77777777" w:rsidR="00E74F3E" w:rsidRDefault="00E74F3E" w:rsidP="00E74F3E">
            <w:pPr>
              <w:pStyle w:val="ListParagraph"/>
              <w:ind w:left="360"/>
              <w:rPr>
                <w:rFonts w:ascii="Garamond" w:eastAsiaTheme="minorEastAsia" w:hAnsi="Garamond"/>
                <w:sz w:val="20"/>
                <w:szCs w:val="20"/>
                <w:lang w:bidi="th-TH"/>
              </w:rPr>
            </w:pPr>
          </w:p>
          <w:p w14:paraId="59479874" w14:textId="77777777" w:rsidR="00295F9B" w:rsidRDefault="00295F9B" w:rsidP="00E74F3E">
            <w:pPr>
              <w:pStyle w:val="ListParagraph"/>
              <w:ind w:left="360"/>
              <w:rPr>
                <w:rFonts w:ascii="Garamond" w:eastAsiaTheme="minorEastAsia" w:hAnsi="Garamond"/>
                <w:sz w:val="20"/>
                <w:szCs w:val="20"/>
                <w:lang w:bidi="th-TH"/>
              </w:rPr>
            </w:pPr>
          </w:p>
          <w:p w14:paraId="2AB08956" w14:textId="77777777" w:rsidR="00295F9B" w:rsidRDefault="00295F9B" w:rsidP="00E74F3E">
            <w:pPr>
              <w:pStyle w:val="ListParagraph"/>
              <w:ind w:left="360"/>
              <w:rPr>
                <w:rFonts w:ascii="Garamond" w:eastAsiaTheme="minorEastAsia" w:hAnsi="Garamond"/>
                <w:sz w:val="20"/>
                <w:szCs w:val="20"/>
                <w:lang w:bidi="th-TH"/>
              </w:rPr>
            </w:pPr>
          </w:p>
          <w:p w14:paraId="519170FF" w14:textId="77777777" w:rsidR="00295F9B" w:rsidRDefault="00295F9B" w:rsidP="00E74F3E">
            <w:pPr>
              <w:pStyle w:val="ListParagraph"/>
              <w:ind w:left="360"/>
              <w:rPr>
                <w:rFonts w:ascii="Garamond" w:eastAsiaTheme="minorEastAsia" w:hAnsi="Garamond"/>
                <w:sz w:val="20"/>
                <w:szCs w:val="20"/>
                <w:lang w:bidi="th-TH"/>
              </w:rPr>
            </w:pPr>
          </w:p>
          <w:p w14:paraId="47C0EB00" w14:textId="77777777" w:rsidR="00EE6E95" w:rsidRDefault="00EE6E95" w:rsidP="00E74F3E">
            <w:pPr>
              <w:pStyle w:val="ListParagraph"/>
              <w:ind w:left="360"/>
              <w:rPr>
                <w:rFonts w:ascii="Garamond" w:eastAsiaTheme="minorEastAsia" w:hAnsi="Garamond"/>
                <w:sz w:val="20"/>
                <w:szCs w:val="20"/>
                <w:lang w:bidi="th-TH"/>
              </w:rPr>
            </w:pPr>
          </w:p>
          <w:p w14:paraId="66A7BF0F" w14:textId="77777777" w:rsidR="00E74F3E" w:rsidRPr="00680F78" w:rsidRDefault="00E74F3E" w:rsidP="00E74F3E">
            <w:pPr>
              <w:pStyle w:val="ListParagraph"/>
              <w:numPr>
                <w:ilvl w:val="1"/>
                <w:numId w:val="4"/>
              </w:numPr>
              <w:ind w:left="371"/>
              <w:rPr>
                <w:rFonts w:ascii="Garamond" w:hAnsi="Garamond"/>
                <w:sz w:val="20"/>
                <w:szCs w:val="20"/>
                <w:lang w:bidi="th-TH"/>
              </w:rPr>
            </w:pPr>
            <w:r>
              <w:rPr>
                <w:rFonts w:ascii="Garamond" w:eastAsiaTheme="minorEastAsia" w:hAnsi="Garamond"/>
                <w:sz w:val="20"/>
                <w:szCs w:val="20"/>
                <w:lang w:bidi="th-TH"/>
              </w:rPr>
              <w:t>Reform tax policy and administration framework to increase tax base, review exemption policies; simplify tax payment; introduce and simplify issuance of unique tax ID</w:t>
            </w:r>
          </w:p>
          <w:p w14:paraId="4C599A42" w14:textId="77777777" w:rsidR="00E74F3E" w:rsidRPr="00680F78" w:rsidRDefault="00E74F3E" w:rsidP="00E74F3E">
            <w:pPr>
              <w:pStyle w:val="ListParagraph"/>
              <w:ind w:left="360"/>
              <w:rPr>
                <w:rFonts w:ascii="Garamond" w:hAnsi="Garamond"/>
                <w:iCs/>
                <w:sz w:val="20"/>
                <w:szCs w:val="20"/>
              </w:rPr>
            </w:pPr>
          </w:p>
          <w:p w14:paraId="247FC0D4" w14:textId="77777777" w:rsidR="00E74F3E" w:rsidRPr="00680F78" w:rsidRDefault="00E74F3E" w:rsidP="00E74F3E">
            <w:pPr>
              <w:pStyle w:val="ListParagraph"/>
              <w:ind w:left="360"/>
              <w:rPr>
                <w:rFonts w:ascii="Garamond" w:hAnsi="Garamond"/>
                <w:iCs/>
                <w:sz w:val="20"/>
                <w:szCs w:val="20"/>
              </w:rPr>
            </w:pPr>
          </w:p>
          <w:p w14:paraId="5415393D" w14:textId="77777777" w:rsidR="00E74F3E" w:rsidRDefault="00E74F3E" w:rsidP="00E74F3E">
            <w:pPr>
              <w:pStyle w:val="ListParagraph"/>
              <w:ind w:left="360"/>
              <w:rPr>
                <w:rFonts w:ascii="Garamond" w:hAnsi="Garamond"/>
                <w:iCs/>
                <w:sz w:val="20"/>
                <w:szCs w:val="20"/>
              </w:rPr>
            </w:pPr>
          </w:p>
          <w:p w14:paraId="306A8968" w14:textId="77777777" w:rsidR="00E74F3E" w:rsidRPr="00680F78" w:rsidRDefault="00E74F3E" w:rsidP="00E74F3E">
            <w:pPr>
              <w:pStyle w:val="ListParagraph"/>
              <w:numPr>
                <w:ilvl w:val="1"/>
                <w:numId w:val="4"/>
              </w:numPr>
              <w:rPr>
                <w:rFonts w:ascii="Garamond" w:hAnsi="Garamond"/>
                <w:iCs/>
                <w:sz w:val="20"/>
                <w:szCs w:val="20"/>
              </w:rPr>
            </w:pPr>
            <w:r>
              <w:rPr>
                <w:rFonts w:ascii="Garamond" w:hAnsi="Garamond"/>
                <w:sz w:val="20"/>
                <w:szCs w:val="20"/>
                <w:lang w:bidi="th-TH"/>
              </w:rPr>
              <w:t>Keep tight control over expenditures and re-allocate spending to more efficient uses</w:t>
            </w:r>
          </w:p>
          <w:p w14:paraId="02262677" w14:textId="77777777" w:rsidR="00E74F3E" w:rsidRPr="00680F78" w:rsidRDefault="00E74F3E" w:rsidP="00E74F3E">
            <w:pPr>
              <w:pStyle w:val="ListParagraph"/>
              <w:ind w:left="360"/>
              <w:rPr>
                <w:rFonts w:ascii="Garamond" w:hAnsi="Garamond"/>
                <w:iCs/>
                <w:sz w:val="20"/>
                <w:szCs w:val="20"/>
              </w:rPr>
            </w:pPr>
          </w:p>
          <w:p w14:paraId="2AC45917" w14:textId="77777777" w:rsidR="00E74F3E" w:rsidRDefault="00E74F3E" w:rsidP="00E74F3E">
            <w:pPr>
              <w:pStyle w:val="ListParagraph"/>
              <w:numPr>
                <w:ilvl w:val="1"/>
                <w:numId w:val="4"/>
              </w:numPr>
              <w:rPr>
                <w:rFonts w:ascii="Garamond" w:hAnsi="Garamond"/>
                <w:iCs/>
                <w:sz w:val="20"/>
                <w:szCs w:val="20"/>
              </w:rPr>
            </w:pPr>
            <w:r>
              <w:rPr>
                <w:rFonts w:ascii="Garamond" w:hAnsi="Garamond"/>
                <w:iCs/>
                <w:sz w:val="20"/>
                <w:szCs w:val="20"/>
              </w:rPr>
              <w:t>Increase fiscal buffers and strengthen prospects for fiscal sustainability;</w:t>
            </w:r>
          </w:p>
          <w:p w14:paraId="499A9611" w14:textId="77777777" w:rsidR="00E74F3E" w:rsidRDefault="00E74F3E" w:rsidP="00E74F3E">
            <w:pPr>
              <w:pStyle w:val="ListParagraph"/>
              <w:ind w:left="360"/>
              <w:rPr>
                <w:rFonts w:ascii="Garamond" w:hAnsi="Garamond"/>
                <w:iCs/>
                <w:sz w:val="20"/>
                <w:szCs w:val="20"/>
              </w:rPr>
            </w:pPr>
          </w:p>
          <w:p w14:paraId="4A7BF00A" w14:textId="77777777" w:rsidR="00E74F3E" w:rsidRDefault="00E74F3E" w:rsidP="00E74F3E">
            <w:pPr>
              <w:pStyle w:val="ListParagraph"/>
              <w:ind w:left="360"/>
              <w:rPr>
                <w:rFonts w:ascii="Garamond" w:hAnsi="Garamond"/>
                <w:iCs/>
                <w:sz w:val="20"/>
                <w:szCs w:val="20"/>
              </w:rPr>
            </w:pPr>
          </w:p>
          <w:p w14:paraId="0FB49A55" w14:textId="77777777" w:rsidR="00E74F3E" w:rsidRDefault="00E74F3E" w:rsidP="00E74F3E">
            <w:pPr>
              <w:pStyle w:val="ListParagraph"/>
              <w:ind w:left="360"/>
              <w:rPr>
                <w:rFonts w:ascii="Garamond" w:hAnsi="Garamond"/>
                <w:iCs/>
                <w:sz w:val="20"/>
                <w:szCs w:val="20"/>
              </w:rPr>
            </w:pPr>
          </w:p>
          <w:p w14:paraId="580A85BE" w14:textId="77777777" w:rsidR="00792B14" w:rsidRDefault="00792B14" w:rsidP="00E74F3E">
            <w:pPr>
              <w:pStyle w:val="ListParagraph"/>
              <w:ind w:left="360"/>
              <w:rPr>
                <w:rFonts w:ascii="Garamond" w:hAnsi="Garamond"/>
                <w:iCs/>
                <w:sz w:val="20"/>
                <w:szCs w:val="20"/>
              </w:rPr>
            </w:pPr>
          </w:p>
          <w:p w14:paraId="3F5692D7" w14:textId="77777777" w:rsidR="00792B14" w:rsidRDefault="00792B14" w:rsidP="00E74F3E">
            <w:pPr>
              <w:pStyle w:val="ListParagraph"/>
              <w:ind w:left="360"/>
              <w:rPr>
                <w:rFonts w:ascii="Garamond" w:hAnsi="Garamond"/>
                <w:iCs/>
                <w:sz w:val="20"/>
                <w:szCs w:val="20"/>
              </w:rPr>
            </w:pPr>
          </w:p>
          <w:p w14:paraId="1E917B88" w14:textId="77777777" w:rsidR="00E74F3E" w:rsidRDefault="00E74F3E" w:rsidP="00E74F3E">
            <w:pPr>
              <w:pStyle w:val="ListParagraph"/>
              <w:ind w:left="360"/>
              <w:rPr>
                <w:rFonts w:ascii="Garamond" w:hAnsi="Garamond"/>
                <w:iCs/>
                <w:sz w:val="20"/>
                <w:szCs w:val="20"/>
              </w:rPr>
            </w:pPr>
          </w:p>
          <w:p w14:paraId="4E3CE347" w14:textId="77777777" w:rsidR="00E74F3E" w:rsidRDefault="00E74F3E" w:rsidP="00E74F3E">
            <w:pPr>
              <w:pStyle w:val="ListParagraph"/>
              <w:numPr>
                <w:ilvl w:val="1"/>
                <w:numId w:val="4"/>
              </w:numPr>
              <w:rPr>
                <w:rFonts w:ascii="Garamond" w:hAnsi="Garamond"/>
                <w:iCs/>
                <w:sz w:val="20"/>
                <w:szCs w:val="20"/>
              </w:rPr>
            </w:pPr>
            <w:r>
              <w:rPr>
                <w:rFonts w:ascii="Garamond" w:hAnsi="Garamond"/>
                <w:iCs/>
                <w:sz w:val="20"/>
                <w:szCs w:val="20"/>
              </w:rPr>
              <w:t>Keep credit growth in line with objectives of low inflation and financial sector stability;</w:t>
            </w:r>
          </w:p>
          <w:p w14:paraId="10E7F097" w14:textId="77777777" w:rsidR="00E74F3E" w:rsidRDefault="00E74F3E" w:rsidP="00E74F3E">
            <w:pPr>
              <w:pStyle w:val="ListParagraph"/>
              <w:ind w:left="360"/>
              <w:rPr>
                <w:rFonts w:ascii="Garamond" w:hAnsi="Garamond"/>
                <w:iCs/>
                <w:sz w:val="20"/>
                <w:szCs w:val="20"/>
              </w:rPr>
            </w:pPr>
          </w:p>
          <w:p w14:paraId="2D058382" w14:textId="77777777" w:rsidR="00E74F3E" w:rsidRDefault="00E74F3E" w:rsidP="00E74F3E">
            <w:pPr>
              <w:pStyle w:val="ListParagraph"/>
              <w:ind w:left="360"/>
              <w:rPr>
                <w:rFonts w:ascii="Garamond" w:hAnsi="Garamond"/>
                <w:iCs/>
                <w:sz w:val="20"/>
                <w:szCs w:val="20"/>
              </w:rPr>
            </w:pPr>
          </w:p>
          <w:p w14:paraId="4792E3F9" w14:textId="77777777" w:rsidR="00E74F3E" w:rsidRDefault="00E74F3E" w:rsidP="00E74F3E">
            <w:pPr>
              <w:pStyle w:val="ListParagraph"/>
              <w:ind w:left="360"/>
              <w:rPr>
                <w:rFonts w:ascii="Garamond" w:hAnsi="Garamond"/>
                <w:iCs/>
                <w:sz w:val="20"/>
                <w:szCs w:val="20"/>
              </w:rPr>
            </w:pPr>
          </w:p>
          <w:p w14:paraId="24934F49" w14:textId="77777777" w:rsidR="00E85449" w:rsidRDefault="00E85449" w:rsidP="00E74F3E">
            <w:pPr>
              <w:pStyle w:val="ListParagraph"/>
              <w:ind w:left="360"/>
              <w:rPr>
                <w:rFonts w:ascii="Garamond" w:hAnsi="Garamond"/>
                <w:iCs/>
                <w:sz w:val="20"/>
                <w:szCs w:val="20"/>
              </w:rPr>
            </w:pPr>
          </w:p>
          <w:p w14:paraId="425563F5" w14:textId="77777777" w:rsidR="00E85449" w:rsidRDefault="00E85449" w:rsidP="00E74F3E">
            <w:pPr>
              <w:pStyle w:val="ListParagraph"/>
              <w:ind w:left="360"/>
              <w:rPr>
                <w:rFonts w:ascii="Garamond" w:hAnsi="Garamond"/>
                <w:iCs/>
                <w:sz w:val="20"/>
                <w:szCs w:val="20"/>
              </w:rPr>
            </w:pPr>
          </w:p>
          <w:p w14:paraId="60E88FEF" w14:textId="77777777" w:rsidR="00E85449" w:rsidRDefault="00E85449" w:rsidP="00E74F3E">
            <w:pPr>
              <w:pStyle w:val="ListParagraph"/>
              <w:ind w:left="360"/>
              <w:rPr>
                <w:rFonts w:ascii="Garamond" w:hAnsi="Garamond"/>
                <w:iCs/>
                <w:sz w:val="20"/>
                <w:szCs w:val="20"/>
              </w:rPr>
            </w:pPr>
          </w:p>
          <w:p w14:paraId="7C4AF5DD" w14:textId="77777777" w:rsidR="00E2418A" w:rsidRDefault="00E2418A" w:rsidP="00E74F3E">
            <w:pPr>
              <w:pStyle w:val="ListParagraph"/>
              <w:ind w:left="360"/>
              <w:rPr>
                <w:rFonts w:ascii="Garamond" w:hAnsi="Garamond"/>
                <w:iCs/>
                <w:sz w:val="20"/>
                <w:szCs w:val="20"/>
              </w:rPr>
            </w:pPr>
          </w:p>
          <w:p w14:paraId="62C70C3B" w14:textId="77777777" w:rsidR="00E2418A" w:rsidRDefault="00E2418A" w:rsidP="00E74F3E">
            <w:pPr>
              <w:pStyle w:val="ListParagraph"/>
              <w:ind w:left="360"/>
              <w:rPr>
                <w:rFonts w:ascii="Garamond" w:hAnsi="Garamond"/>
                <w:iCs/>
                <w:sz w:val="20"/>
                <w:szCs w:val="20"/>
              </w:rPr>
            </w:pPr>
          </w:p>
          <w:p w14:paraId="092D1179" w14:textId="77777777" w:rsidR="00E2418A" w:rsidRDefault="00E2418A" w:rsidP="00E74F3E">
            <w:pPr>
              <w:pStyle w:val="ListParagraph"/>
              <w:ind w:left="360"/>
              <w:rPr>
                <w:rFonts w:ascii="Garamond" w:hAnsi="Garamond"/>
                <w:iCs/>
                <w:sz w:val="20"/>
                <w:szCs w:val="20"/>
              </w:rPr>
            </w:pPr>
          </w:p>
          <w:p w14:paraId="210400DD" w14:textId="77777777" w:rsidR="00E2418A" w:rsidRDefault="00E2418A" w:rsidP="00E74F3E">
            <w:pPr>
              <w:pStyle w:val="ListParagraph"/>
              <w:ind w:left="360"/>
              <w:rPr>
                <w:rFonts w:ascii="Garamond" w:hAnsi="Garamond"/>
                <w:iCs/>
                <w:sz w:val="20"/>
                <w:szCs w:val="20"/>
              </w:rPr>
            </w:pPr>
          </w:p>
          <w:p w14:paraId="31A1D0B7" w14:textId="77777777" w:rsidR="00E2418A" w:rsidRDefault="00E2418A" w:rsidP="00E74F3E">
            <w:pPr>
              <w:pStyle w:val="ListParagraph"/>
              <w:ind w:left="360"/>
              <w:rPr>
                <w:rFonts w:ascii="Garamond" w:hAnsi="Garamond"/>
                <w:iCs/>
                <w:sz w:val="20"/>
                <w:szCs w:val="20"/>
              </w:rPr>
            </w:pPr>
          </w:p>
          <w:p w14:paraId="27D0B953" w14:textId="77777777" w:rsidR="00E2418A" w:rsidRDefault="00E2418A" w:rsidP="00E74F3E">
            <w:pPr>
              <w:pStyle w:val="ListParagraph"/>
              <w:ind w:left="360"/>
              <w:rPr>
                <w:rFonts w:ascii="Garamond" w:hAnsi="Garamond"/>
                <w:iCs/>
                <w:sz w:val="20"/>
                <w:szCs w:val="20"/>
              </w:rPr>
            </w:pPr>
          </w:p>
          <w:p w14:paraId="0D626B83" w14:textId="77777777" w:rsidR="00E2418A" w:rsidRDefault="00E2418A" w:rsidP="00E74F3E">
            <w:pPr>
              <w:pStyle w:val="ListParagraph"/>
              <w:ind w:left="360"/>
              <w:rPr>
                <w:rFonts w:ascii="Garamond" w:hAnsi="Garamond"/>
                <w:iCs/>
                <w:sz w:val="20"/>
                <w:szCs w:val="20"/>
              </w:rPr>
            </w:pPr>
          </w:p>
          <w:p w14:paraId="13C34993" w14:textId="77777777" w:rsidR="00E2418A" w:rsidRDefault="00E2418A" w:rsidP="00E74F3E">
            <w:pPr>
              <w:pStyle w:val="ListParagraph"/>
              <w:ind w:left="360"/>
              <w:rPr>
                <w:rFonts w:ascii="Garamond" w:hAnsi="Garamond"/>
                <w:iCs/>
                <w:sz w:val="20"/>
                <w:szCs w:val="20"/>
              </w:rPr>
            </w:pPr>
          </w:p>
          <w:p w14:paraId="45EA3CBB" w14:textId="77777777" w:rsidR="00E2418A" w:rsidRDefault="00E2418A" w:rsidP="00E74F3E">
            <w:pPr>
              <w:pStyle w:val="ListParagraph"/>
              <w:ind w:left="360"/>
              <w:rPr>
                <w:rFonts w:ascii="Garamond" w:hAnsi="Garamond"/>
                <w:iCs/>
                <w:sz w:val="20"/>
                <w:szCs w:val="20"/>
              </w:rPr>
            </w:pPr>
          </w:p>
          <w:p w14:paraId="41A55B3E" w14:textId="77777777" w:rsidR="003B6DDA" w:rsidRDefault="003B6DDA" w:rsidP="00E74F3E">
            <w:pPr>
              <w:pStyle w:val="ListParagraph"/>
              <w:ind w:left="360"/>
              <w:rPr>
                <w:rFonts w:ascii="Garamond" w:hAnsi="Garamond"/>
                <w:iCs/>
                <w:sz w:val="20"/>
                <w:szCs w:val="20"/>
              </w:rPr>
            </w:pPr>
          </w:p>
          <w:p w14:paraId="6940A7D0" w14:textId="77777777" w:rsidR="00E74F3E" w:rsidRPr="00680F78" w:rsidRDefault="00E74F3E" w:rsidP="00E74F3E">
            <w:pPr>
              <w:pStyle w:val="ListParagraph"/>
              <w:numPr>
                <w:ilvl w:val="1"/>
                <w:numId w:val="4"/>
              </w:numPr>
              <w:rPr>
                <w:rFonts w:ascii="Garamond" w:hAnsi="Garamond"/>
                <w:iCs/>
                <w:sz w:val="20"/>
                <w:szCs w:val="20"/>
              </w:rPr>
            </w:pPr>
            <w:r>
              <w:rPr>
                <w:rFonts w:ascii="Garamond" w:hAnsi="Garamond"/>
                <w:iCs/>
                <w:sz w:val="20"/>
                <w:szCs w:val="20"/>
              </w:rPr>
              <w:t>Sustained competitiveness of the real exchange rate</w:t>
            </w:r>
          </w:p>
          <w:p w14:paraId="7072C707" w14:textId="77777777" w:rsidR="00E74F3E" w:rsidRPr="00DD2B43" w:rsidRDefault="00E74F3E" w:rsidP="000F69E6">
            <w:pPr>
              <w:rPr>
                <w:rFonts w:ascii="Garamond" w:hAnsi="Garamond" w:cs="Times New Roman"/>
                <w:b/>
                <w:sz w:val="20"/>
                <w:szCs w:val="20"/>
              </w:rPr>
            </w:pPr>
          </w:p>
        </w:tc>
        <w:tc>
          <w:tcPr>
            <w:tcW w:w="3038" w:type="dxa"/>
          </w:tcPr>
          <w:p w14:paraId="7E4A4A08" w14:textId="77777777" w:rsidR="00E74F3E" w:rsidRPr="00D0120A" w:rsidRDefault="00E74F3E" w:rsidP="00E74F3E">
            <w:pPr>
              <w:pStyle w:val="ListParagraph"/>
              <w:numPr>
                <w:ilvl w:val="1"/>
                <w:numId w:val="5"/>
              </w:numPr>
              <w:rPr>
                <w:rFonts w:ascii="Garamond" w:hAnsi="Garamond"/>
                <w:sz w:val="20"/>
                <w:szCs w:val="20"/>
              </w:rPr>
            </w:pPr>
            <w:r w:rsidRPr="001175F9">
              <w:rPr>
                <w:rFonts w:ascii="Garamond" w:hAnsi="Garamond"/>
                <w:sz w:val="20"/>
                <w:szCs w:val="20"/>
                <w:lang w:bidi="th-TH"/>
              </w:rPr>
              <w:lastRenderedPageBreak/>
              <w:t xml:space="preserve">Development of medium term </w:t>
            </w:r>
            <w:r>
              <w:rPr>
                <w:rFonts w:ascii="Garamond" w:hAnsi="Garamond"/>
                <w:sz w:val="20"/>
                <w:szCs w:val="20"/>
                <w:lang w:bidi="th-TH"/>
              </w:rPr>
              <w:t>macro-</w:t>
            </w:r>
            <w:r w:rsidRPr="001175F9">
              <w:rPr>
                <w:rFonts w:ascii="Garamond" w:hAnsi="Garamond"/>
                <w:sz w:val="20"/>
                <w:szCs w:val="20"/>
                <w:lang w:bidi="th-TH"/>
              </w:rPr>
              <w:t>fiscal framework and fiscal strategy</w:t>
            </w:r>
            <w:r>
              <w:rPr>
                <w:rFonts w:ascii="Garamond" w:hAnsi="Garamond"/>
                <w:sz w:val="20"/>
                <w:szCs w:val="20"/>
                <w:lang w:bidi="th-TH"/>
              </w:rPr>
              <w:t xml:space="preserve"> underpinning the 8</w:t>
            </w:r>
            <w:r w:rsidRPr="00680F78">
              <w:rPr>
                <w:rFonts w:ascii="Garamond" w:hAnsi="Garamond"/>
                <w:sz w:val="20"/>
                <w:szCs w:val="20"/>
                <w:vertAlign w:val="superscript"/>
                <w:lang w:bidi="th-TH"/>
              </w:rPr>
              <w:t>th</w:t>
            </w:r>
            <w:r>
              <w:rPr>
                <w:rFonts w:ascii="Garamond" w:hAnsi="Garamond"/>
                <w:sz w:val="20"/>
                <w:szCs w:val="20"/>
                <w:lang w:bidi="th-TH"/>
              </w:rPr>
              <w:t xml:space="preserve"> NSEDP and the Budget process; </w:t>
            </w:r>
            <w:r>
              <w:rPr>
                <w:rFonts w:ascii="Garamond" w:hAnsi="Garamond"/>
                <w:sz w:val="20"/>
                <w:szCs w:val="20"/>
              </w:rPr>
              <w:t>periodic (annual; semi-annual)</w:t>
            </w:r>
            <w:r w:rsidRPr="00D0120A">
              <w:rPr>
                <w:rFonts w:ascii="Garamond" w:hAnsi="Garamond"/>
                <w:sz w:val="20"/>
                <w:szCs w:val="20"/>
              </w:rPr>
              <w:t xml:space="preserve"> presentation of medium term fiscal framework</w:t>
            </w:r>
          </w:p>
          <w:p w14:paraId="030703BB" w14:textId="77777777" w:rsidR="00E74F3E" w:rsidRDefault="00E74F3E" w:rsidP="00E74F3E">
            <w:pPr>
              <w:pStyle w:val="ListParagraph"/>
              <w:ind w:left="318"/>
              <w:rPr>
                <w:rFonts w:ascii="Garamond" w:eastAsiaTheme="minorEastAsia" w:hAnsi="Garamond"/>
                <w:sz w:val="20"/>
                <w:szCs w:val="20"/>
              </w:rPr>
            </w:pPr>
          </w:p>
          <w:p w14:paraId="3F26C2EC" w14:textId="77777777" w:rsidR="0095404C" w:rsidRDefault="0095404C" w:rsidP="00E74F3E">
            <w:pPr>
              <w:pStyle w:val="ListParagraph"/>
              <w:ind w:left="318"/>
              <w:rPr>
                <w:rFonts w:ascii="Garamond" w:eastAsiaTheme="minorEastAsia" w:hAnsi="Garamond"/>
                <w:sz w:val="20"/>
                <w:szCs w:val="20"/>
              </w:rPr>
            </w:pPr>
          </w:p>
          <w:p w14:paraId="4D10B519" w14:textId="77777777" w:rsidR="0095404C" w:rsidRPr="00D0120A" w:rsidRDefault="0095404C" w:rsidP="00E74F3E">
            <w:pPr>
              <w:pStyle w:val="ListParagraph"/>
              <w:ind w:left="318"/>
              <w:rPr>
                <w:rFonts w:ascii="Garamond" w:eastAsiaTheme="minorEastAsia" w:hAnsi="Garamond"/>
                <w:sz w:val="20"/>
                <w:szCs w:val="20"/>
              </w:rPr>
            </w:pPr>
          </w:p>
          <w:p w14:paraId="15005700" w14:textId="77777777" w:rsidR="00E74F3E" w:rsidRPr="00680F78" w:rsidRDefault="00E74F3E" w:rsidP="00E74F3E">
            <w:pPr>
              <w:pStyle w:val="ListParagraph"/>
              <w:numPr>
                <w:ilvl w:val="1"/>
                <w:numId w:val="5"/>
              </w:numPr>
              <w:rPr>
                <w:rFonts w:ascii="Garamond" w:eastAsiaTheme="minorEastAsia" w:hAnsi="Garamond"/>
                <w:sz w:val="20"/>
                <w:szCs w:val="20"/>
              </w:rPr>
            </w:pPr>
            <w:r w:rsidRPr="00680F78">
              <w:rPr>
                <w:rFonts w:ascii="Garamond" w:hAnsi="Garamond"/>
                <w:sz w:val="20"/>
                <w:szCs w:val="20"/>
              </w:rPr>
              <w:t xml:space="preserve">[Quarterly data reporting (e.g., monetary, fiscal, and financial) to SWG and </w:t>
            </w:r>
            <w:r w:rsidRPr="00D0120A">
              <w:rPr>
                <w:rFonts w:ascii="Garamond" w:hAnsi="Garamond"/>
                <w:sz w:val="20"/>
                <w:szCs w:val="20"/>
              </w:rPr>
              <w:t>on agencies</w:t>
            </w:r>
            <w:r>
              <w:rPr>
                <w:rFonts w:ascii="Garamond" w:hAnsi="Garamond"/>
                <w:sz w:val="20"/>
                <w:szCs w:val="20"/>
              </w:rPr>
              <w:t>’</w:t>
            </w:r>
            <w:r w:rsidRPr="00D0120A">
              <w:rPr>
                <w:rFonts w:ascii="Garamond" w:hAnsi="Garamond"/>
                <w:sz w:val="20"/>
                <w:szCs w:val="20"/>
              </w:rPr>
              <w:t xml:space="preserve"> web-sites</w:t>
            </w:r>
            <w:r w:rsidRPr="00680F78">
              <w:rPr>
                <w:rFonts w:ascii="Garamond" w:hAnsi="Garamond"/>
                <w:sz w:val="20"/>
                <w:szCs w:val="20"/>
              </w:rPr>
              <w:t>.]</w:t>
            </w:r>
          </w:p>
          <w:p w14:paraId="49166973" w14:textId="77777777" w:rsidR="00E74F3E" w:rsidRDefault="00E74F3E" w:rsidP="00E74F3E">
            <w:pPr>
              <w:pStyle w:val="ListParagraph"/>
              <w:ind w:left="318"/>
              <w:rPr>
                <w:rFonts w:ascii="Garamond" w:hAnsi="Garamond"/>
                <w:sz w:val="20"/>
                <w:szCs w:val="20"/>
              </w:rPr>
            </w:pPr>
          </w:p>
          <w:p w14:paraId="1430139E" w14:textId="77777777" w:rsidR="00295F9B" w:rsidRDefault="00295F9B" w:rsidP="00E74F3E">
            <w:pPr>
              <w:pStyle w:val="ListParagraph"/>
              <w:ind w:left="318"/>
              <w:rPr>
                <w:rFonts w:ascii="Garamond" w:hAnsi="Garamond"/>
                <w:sz w:val="20"/>
                <w:szCs w:val="20"/>
              </w:rPr>
            </w:pPr>
          </w:p>
          <w:p w14:paraId="136D62ED" w14:textId="77777777" w:rsidR="00295F9B" w:rsidRDefault="00295F9B" w:rsidP="00E74F3E">
            <w:pPr>
              <w:pStyle w:val="ListParagraph"/>
              <w:ind w:left="318"/>
              <w:rPr>
                <w:rFonts w:ascii="Garamond" w:hAnsi="Garamond"/>
                <w:sz w:val="20"/>
                <w:szCs w:val="20"/>
              </w:rPr>
            </w:pPr>
          </w:p>
          <w:p w14:paraId="53A8CEC9" w14:textId="77777777" w:rsidR="00295F9B" w:rsidRDefault="00295F9B" w:rsidP="00E74F3E">
            <w:pPr>
              <w:pStyle w:val="ListParagraph"/>
              <w:ind w:left="318"/>
              <w:rPr>
                <w:rFonts w:ascii="Garamond" w:hAnsi="Garamond"/>
                <w:sz w:val="20"/>
                <w:szCs w:val="20"/>
              </w:rPr>
            </w:pPr>
          </w:p>
          <w:p w14:paraId="0E11E14B" w14:textId="77777777" w:rsidR="00295F9B" w:rsidRDefault="00295F9B" w:rsidP="00E74F3E">
            <w:pPr>
              <w:pStyle w:val="ListParagraph"/>
              <w:ind w:left="318"/>
              <w:rPr>
                <w:rFonts w:ascii="Garamond" w:hAnsi="Garamond"/>
                <w:sz w:val="20"/>
                <w:szCs w:val="20"/>
              </w:rPr>
            </w:pPr>
          </w:p>
          <w:p w14:paraId="3CB6B169" w14:textId="77777777" w:rsidR="00EE6E95" w:rsidRDefault="00EE6E95" w:rsidP="00E74F3E">
            <w:pPr>
              <w:pStyle w:val="ListParagraph"/>
              <w:ind w:left="318"/>
              <w:rPr>
                <w:rFonts w:ascii="Garamond" w:hAnsi="Garamond"/>
                <w:sz w:val="20"/>
                <w:szCs w:val="20"/>
              </w:rPr>
            </w:pPr>
          </w:p>
          <w:p w14:paraId="5EFCBFC7" w14:textId="77777777" w:rsidR="00295F9B" w:rsidRDefault="00295F9B" w:rsidP="00E74F3E">
            <w:pPr>
              <w:pStyle w:val="ListParagraph"/>
              <w:ind w:left="318"/>
              <w:rPr>
                <w:rFonts w:ascii="Garamond" w:hAnsi="Garamond"/>
                <w:sz w:val="20"/>
                <w:szCs w:val="20"/>
              </w:rPr>
            </w:pPr>
          </w:p>
          <w:p w14:paraId="7BD8416E" w14:textId="77777777" w:rsidR="00E74F3E" w:rsidRPr="005A5FA4" w:rsidRDefault="00E74F3E" w:rsidP="00E74F3E">
            <w:pPr>
              <w:pStyle w:val="ListParagraph"/>
              <w:numPr>
                <w:ilvl w:val="1"/>
                <w:numId w:val="5"/>
              </w:numPr>
              <w:rPr>
                <w:rFonts w:ascii="Garamond" w:hAnsi="Garamond"/>
                <w:iCs/>
                <w:sz w:val="20"/>
                <w:szCs w:val="20"/>
              </w:rPr>
            </w:pPr>
            <w:r w:rsidRPr="005A5FA4">
              <w:rPr>
                <w:rFonts w:ascii="Garamond" w:hAnsi="Garamond"/>
                <w:sz w:val="20"/>
                <w:szCs w:val="20"/>
              </w:rPr>
              <w:t>Domestic revenues increase from a baseline of 19% of GDP in FY13/14; Entities registered for VAT purposes;</w:t>
            </w:r>
            <w:r w:rsidRPr="005A5FA4">
              <w:t xml:space="preserve"> </w:t>
            </w:r>
            <w:r w:rsidRPr="005A5FA4">
              <w:rPr>
                <w:rFonts w:ascii="Garamond" w:hAnsi="Garamond"/>
                <w:sz w:val="20"/>
                <w:szCs w:val="20"/>
              </w:rPr>
              <w:t xml:space="preserve">Taxpayers filing tax returns correctly and on time, Taxpayers paying full tax </w:t>
            </w:r>
            <w:r w:rsidRPr="005A5FA4">
              <w:rPr>
                <w:rFonts w:ascii="Garamond" w:hAnsi="Garamond"/>
                <w:sz w:val="20"/>
                <w:szCs w:val="20"/>
              </w:rPr>
              <w:lastRenderedPageBreak/>
              <w:t>obligations and on time.</w:t>
            </w:r>
          </w:p>
          <w:p w14:paraId="3253254E" w14:textId="77777777" w:rsidR="00E74F3E" w:rsidRDefault="00E74F3E" w:rsidP="00E74F3E">
            <w:pPr>
              <w:pStyle w:val="ListParagraph"/>
              <w:ind w:left="360"/>
              <w:rPr>
                <w:rFonts w:ascii="Garamond" w:hAnsi="Garamond"/>
                <w:iCs/>
                <w:sz w:val="20"/>
                <w:szCs w:val="20"/>
              </w:rPr>
            </w:pPr>
          </w:p>
          <w:p w14:paraId="3ACADD0E" w14:textId="77777777" w:rsidR="00E74F3E" w:rsidRDefault="00E74F3E" w:rsidP="00E74F3E">
            <w:pPr>
              <w:pStyle w:val="ListParagraph"/>
              <w:numPr>
                <w:ilvl w:val="1"/>
                <w:numId w:val="5"/>
              </w:numPr>
              <w:rPr>
                <w:rFonts w:ascii="Garamond" w:hAnsi="Garamond"/>
                <w:iCs/>
                <w:sz w:val="20"/>
                <w:szCs w:val="20"/>
              </w:rPr>
            </w:pPr>
            <w:r>
              <w:rPr>
                <w:rFonts w:ascii="Garamond" w:hAnsi="Garamond"/>
                <w:iCs/>
                <w:sz w:val="20"/>
                <w:szCs w:val="20"/>
              </w:rPr>
              <w:t>Expenditures decline from a baseline of 29% of GDP in FY13/14; Salaries decline from 40% of total spending.</w:t>
            </w:r>
          </w:p>
          <w:p w14:paraId="138F3303" w14:textId="77777777" w:rsidR="00E74F3E" w:rsidRDefault="00E74F3E" w:rsidP="00E74F3E">
            <w:pPr>
              <w:pStyle w:val="ListParagraph"/>
              <w:ind w:left="360"/>
              <w:rPr>
                <w:rFonts w:ascii="Garamond" w:hAnsi="Garamond"/>
                <w:iCs/>
                <w:sz w:val="20"/>
                <w:szCs w:val="20"/>
              </w:rPr>
            </w:pPr>
          </w:p>
          <w:p w14:paraId="77A4B428" w14:textId="77777777" w:rsidR="00E74F3E" w:rsidRPr="005A5FA4" w:rsidRDefault="00E74F3E" w:rsidP="00E74F3E">
            <w:pPr>
              <w:pStyle w:val="ListParagraph"/>
              <w:numPr>
                <w:ilvl w:val="1"/>
                <w:numId w:val="5"/>
              </w:numPr>
              <w:rPr>
                <w:rFonts w:ascii="Garamond" w:hAnsi="Garamond"/>
                <w:iCs/>
                <w:sz w:val="20"/>
                <w:szCs w:val="20"/>
              </w:rPr>
            </w:pPr>
            <w:r>
              <w:rPr>
                <w:rFonts w:ascii="Garamond" w:hAnsi="Garamond"/>
                <w:iCs/>
                <w:sz w:val="20"/>
                <w:szCs w:val="20"/>
              </w:rPr>
              <w:t xml:space="preserve">Budget deficit reduced from a baseline of 4.5% of GDP in FY13/14 </w:t>
            </w:r>
            <w:r w:rsidRPr="005A5FA4">
              <w:rPr>
                <w:rFonts w:ascii="Garamond" w:hAnsi="Garamond"/>
                <w:iCs/>
                <w:sz w:val="20"/>
                <w:szCs w:val="20"/>
              </w:rPr>
              <w:t>and public debt maintained at below 60% of GDP in 2014</w:t>
            </w:r>
          </w:p>
          <w:p w14:paraId="04A059F9" w14:textId="77777777" w:rsidR="00E74F3E" w:rsidRDefault="00E74F3E" w:rsidP="00E74F3E">
            <w:pPr>
              <w:pStyle w:val="ListParagraph"/>
              <w:ind w:left="360"/>
              <w:rPr>
                <w:rFonts w:ascii="Garamond" w:hAnsi="Garamond"/>
                <w:iCs/>
                <w:sz w:val="20"/>
                <w:szCs w:val="20"/>
              </w:rPr>
            </w:pPr>
          </w:p>
          <w:p w14:paraId="63AB05CF" w14:textId="77777777" w:rsidR="00F9519B" w:rsidRDefault="00F9519B" w:rsidP="00E74F3E">
            <w:pPr>
              <w:pStyle w:val="ListParagraph"/>
              <w:ind w:left="360"/>
              <w:rPr>
                <w:rFonts w:ascii="Garamond" w:hAnsi="Garamond"/>
                <w:iCs/>
                <w:sz w:val="20"/>
                <w:szCs w:val="20"/>
              </w:rPr>
            </w:pPr>
          </w:p>
          <w:p w14:paraId="774C1054" w14:textId="77777777" w:rsidR="00792B14" w:rsidRDefault="00792B14" w:rsidP="00E74F3E">
            <w:pPr>
              <w:pStyle w:val="ListParagraph"/>
              <w:ind w:left="360"/>
              <w:rPr>
                <w:rFonts w:ascii="Garamond" w:hAnsi="Garamond"/>
                <w:iCs/>
                <w:sz w:val="20"/>
                <w:szCs w:val="20"/>
              </w:rPr>
            </w:pPr>
          </w:p>
          <w:p w14:paraId="26B9C20F" w14:textId="77777777" w:rsidR="00792B14" w:rsidRDefault="00792B14" w:rsidP="00E74F3E">
            <w:pPr>
              <w:pStyle w:val="ListParagraph"/>
              <w:ind w:left="360"/>
              <w:rPr>
                <w:rFonts w:ascii="Garamond" w:hAnsi="Garamond"/>
                <w:iCs/>
                <w:sz w:val="20"/>
                <w:szCs w:val="20"/>
              </w:rPr>
            </w:pPr>
          </w:p>
          <w:p w14:paraId="16A84741" w14:textId="77777777" w:rsidR="00E74F3E" w:rsidRDefault="00E74F3E" w:rsidP="00E74F3E">
            <w:pPr>
              <w:pStyle w:val="ListParagraph"/>
              <w:numPr>
                <w:ilvl w:val="1"/>
                <w:numId w:val="5"/>
              </w:numPr>
              <w:rPr>
                <w:rFonts w:ascii="Garamond" w:hAnsi="Garamond"/>
                <w:iCs/>
                <w:sz w:val="20"/>
                <w:szCs w:val="20"/>
              </w:rPr>
            </w:pPr>
            <w:r>
              <w:rPr>
                <w:rFonts w:ascii="Garamond" w:hAnsi="Garamond"/>
                <w:iCs/>
                <w:sz w:val="20"/>
                <w:szCs w:val="20"/>
              </w:rPr>
              <w:t>Non-performing loans stable or declining; Capital-adequacy ratio stable or improving</w:t>
            </w:r>
          </w:p>
          <w:p w14:paraId="50C23904" w14:textId="77777777" w:rsidR="00E74F3E" w:rsidRDefault="00E74F3E" w:rsidP="00E74F3E">
            <w:pPr>
              <w:pStyle w:val="ListParagraph"/>
              <w:ind w:left="360"/>
              <w:rPr>
                <w:rFonts w:ascii="Garamond" w:hAnsi="Garamond"/>
                <w:iCs/>
                <w:sz w:val="20"/>
                <w:szCs w:val="20"/>
              </w:rPr>
            </w:pPr>
          </w:p>
          <w:p w14:paraId="2EB0165A" w14:textId="77777777" w:rsidR="00E85449" w:rsidRDefault="00E85449" w:rsidP="00E74F3E">
            <w:pPr>
              <w:pStyle w:val="ListParagraph"/>
              <w:ind w:left="360"/>
              <w:rPr>
                <w:rFonts w:ascii="Garamond" w:hAnsi="Garamond"/>
                <w:iCs/>
                <w:sz w:val="20"/>
                <w:szCs w:val="20"/>
              </w:rPr>
            </w:pPr>
          </w:p>
          <w:p w14:paraId="345651B0" w14:textId="77777777" w:rsidR="00E85449" w:rsidRDefault="00E85449" w:rsidP="00E74F3E">
            <w:pPr>
              <w:pStyle w:val="ListParagraph"/>
              <w:ind w:left="360"/>
              <w:rPr>
                <w:rFonts w:ascii="Garamond" w:hAnsi="Garamond"/>
                <w:iCs/>
                <w:sz w:val="20"/>
                <w:szCs w:val="20"/>
              </w:rPr>
            </w:pPr>
          </w:p>
          <w:p w14:paraId="6E88A25A" w14:textId="77777777" w:rsidR="00E85449" w:rsidRDefault="00E85449" w:rsidP="00E74F3E">
            <w:pPr>
              <w:pStyle w:val="ListParagraph"/>
              <w:ind w:left="360"/>
              <w:rPr>
                <w:rFonts w:ascii="Garamond" w:hAnsi="Garamond"/>
                <w:iCs/>
                <w:sz w:val="20"/>
                <w:szCs w:val="20"/>
              </w:rPr>
            </w:pPr>
          </w:p>
          <w:p w14:paraId="0AC95999" w14:textId="77777777" w:rsidR="00E85449" w:rsidRDefault="00E85449" w:rsidP="00E74F3E">
            <w:pPr>
              <w:pStyle w:val="ListParagraph"/>
              <w:ind w:left="360"/>
              <w:rPr>
                <w:rFonts w:ascii="Garamond" w:hAnsi="Garamond"/>
                <w:iCs/>
                <w:sz w:val="20"/>
                <w:szCs w:val="20"/>
              </w:rPr>
            </w:pPr>
          </w:p>
          <w:p w14:paraId="697F02A5" w14:textId="77777777" w:rsidR="00E85449" w:rsidRDefault="00E85449" w:rsidP="00E74F3E">
            <w:pPr>
              <w:pStyle w:val="ListParagraph"/>
              <w:ind w:left="360"/>
              <w:rPr>
                <w:rFonts w:ascii="Garamond" w:hAnsi="Garamond"/>
                <w:iCs/>
                <w:sz w:val="20"/>
                <w:szCs w:val="20"/>
              </w:rPr>
            </w:pPr>
          </w:p>
          <w:p w14:paraId="4628B1D7" w14:textId="77777777" w:rsidR="00E2418A" w:rsidRDefault="00E2418A" w:rsidP="00E74F3E">
            <w:pPr>
              <w:pStyle w:val="ListParagraph"/>
              <w:ind w:left="360"/>
              <w:rPr>
                <w:rFonts w:ascii="Garamond" w:hAnsi="Garamond"/>
                <w:iCs/>
                <w:sz w:val="20"/>
                <w:szCs w:val="20"/>
              </w:rPr>
            </w:pPr>
          </w:p>
          <w:p w14:paraId="223B7221" w14:textId="77777777" w:rsidR="00E2418A" w:rsidRDefault="00E2418A" w:rsidP="00E74F3E">
            <w:pPr>
              <w:pStyle w:val="ListParagraph"/>
              <w:ind w:left="360"/>
              <w:rPr>
                <w:rFonts w:ascii="Garamond" w:hAnsi="Garamond"/>
                <w:iCs/>
                <w:sz w:val="20"/>
                <w:szCs w:val="20"/>
              </w:rPr>
            </w:pPr>
          </w:p>
          <w:p w14:paraId="5D961A7A" w14:textId="77777777" w:rsidR="00E2418A" w:rsidRDefault="00E2418A" w:rsidP="00E74F3E">
            <w:pPr>
              <w:pStyle w:val="ListParagraph"/>
              <w:ind w:left="360"/>
              <w:rPr>
                <w:rFonts w:ascii="Garamond" w:hAnsi="Garamond"/>
                <w:iCs/>
                <w:sz w:val="20"/>
                <w:szCs w:val="20"/>
              </w:rPr>
            </w:pPr>
          </w:p>
          <w:p w14:paraId="6282A6E4" w14:textId="77777777" w:rsidR="00E2418A" w:rsidRDefault="00E2418A" w:rsidP="00E74F3E">
            <w:pPr>
              <w:pStyle w:val="ListParagraph"/>
              <w:ind w:left="360"/>
              <w:rPr>
                <w:rFonts w:ascii="Garamond" w:hAnsi="Garamond"/>
                <w:iCs/>
                <w:sz w:val="20"/>
                <w:szCs w:val="20"/>
              </w:rPr>
            </w:pPr>
          </w:p>
          <w:p w14:paraId="49495A3C" w14:textId="77777777" w:rsidR="00E2418A" w:rsidRDefault="00E2418A" w:rsidP="00E74F3E">
            <w:pPr>
              <w:pStyle w:val="ListParagraph"/>
              <w:ind w:left="360"/>
              <w:rPr>
                <w:rFonts w:ascii="Garamond" w:hAnsi="Garamond"/>
                <w:iCs/>
                <w:sz w:val="20"/>
                <w:szCs w:val="20"/>
              </w:rPr>
            </w:pPr>
          </w:p>
          <w:p w14:paraId="1E178EBC" w14:textId="77777777" w:rsidR="00E2418A" w:rsidRDefault="00E2418A" w:rsidP="00E74F3E">
            <w:pPr>
              <w:pStyle w:val="ListParagraph"/>
              <w:ind w:left="360"/>
              <w:rPr>
                <w:rFonts w:ascii="Garamond" w:hAnsi="Garamond"/>
                <w:iCs/>
                <w:sz w:val="20"/>
                <w:szCs w:val="20"/>
              </w:rPr>
            </w:pPr>
          </w:p>
          <w:p w14:paraId="08CB7B19" w14:textId="77777777" w:rsidR="00E2418A" w:rsidRDefault="00E2418A" w:rsidP="00E74F3E">
            <w:pPr>
              <w:pStyle w:val="ListParagraph"/>
              <w:ind w:left="360"/>
              <w:rPr>
                <w:rFonts w:ascii="Garamond" w:hAnsi="Garamond"/>
                <w:iCs/>
                <w:sz w:val="20"/>
                <w:szCs w:val="20"/>
              </w:rPr>
            </w:pPr>
          </w:p>
          <w:p w14:paraId="013E156C" w14:textId="77777777" w:rsidR="00E2418A" w:rsidRDefault="00E2418A" w:rsidP="00E74F3E">
            <w:pPr>
              <w:pStyle w:val="ListParagraph"/>
              <w:ind w:left="360"/>
              <w:rPr>
                <w:rFonts w:ascii="Garamond" w:hAnsi="Garamond"/>
                <w:iCs/>
                <w:sz w:val="20"/>
                <w:szCs w:val="20"/>
              </w:rPr>
            </w:pPr>
          </w:p>
          <w:p w14:paraId="45C89192" w14:textId="77777777" w:rsidR="00E2418A" w:rsidRDefault="00E2418A" w:rsidP="00E74F3E">
            <w:pPr>
              <w:pStyle w:val="ListParagraph"/>
              <w:ind w:left="360"/>
              <w:rPr>
                <w:rFonts w:ascii="Garamond" w:hAnsi="Garamond"/>
                <w:iCs/>
                <w:sz w:val="20"/>
                <w:szCs w:val="20"/>
              </w:rPr>
            </w:pPr>
          </w:p>
          <w:p w14:paraId="48955965" w14:textId="77777777" w:rsidR="00E85449" w:rsidRDefault="00E85449" w:rsidP="00E74F3E">
            <w:pPr>
              <w:pStyle w:val="ListParagraph"/>
              <w:ind w:left="360"/>
              <w:rPr>
                <w:rFonts w:ascii="Garamond" w:hAnsi="Garamond"/>
                <w:iCs/>
                <w:sz w:val="20"/>
                <w:szCs w:val="20"/>
              </w:rPr>
            </w:pPr>
          </w:p>
          <w:p w14:paraId="7FAA3D19" w14:textId="77777777" w:rsidR="003B6DDA" w:rsidRDefault="003B6DDA" w:rsidP="00E74F3E">
            <w:pPr>
              <w:pStyle w:val="ListParagraph"/>
              <w:ind w:left="360"/>
              <w:rPr>
                <w:rFonts w:ascii="Garamond" w:hAnsi="Garamond"/>
                <w:iCs/>
                <w:sz w:val="20"/>
                <w:szCs w:val="20"/>
              </w:rPr>
            </w:pPr>
          </w:p>
          <w:p w14:paraId="46123554" w14:textId="77777777" w:rsidR="00E74F3E" w:rsidRPr="00680F78" w:rsidRDefault="00E74F3E" w:rsidP="00E74F3E">
            <w:pPr>
              <w:pStyle w:val="ListParagraph"/>
              <w:numPr>
                <w:ilvl w:val="1"/>
                <w:numId w:val="5"/>
              </w:numPr>
              <w:rPr>
                <w:rFonts w:ascii="Garamond" w:hAnsi="Garamond"/>
                <w:iCs/>
                <w:sz w:val="20"/>
                <w:szCs w:val="20"/>
              </w:rPr>
            </w:pPr>
            <w:r>
              <w:rPr>
                <w:rFonts w:ascii="Garamond" w:hAnsi="Garamond"/>
                <w:iCs/>
                <w:sz w:val="20"/>
                <w:szCs w:val="20"/>
              </w:rPr>
              <w:t>Real exchange rate does not appreciate; forex reserve cover increases</w:t>
            </w:r>
            <w:proofErr w:type="gramStart"/>
            <w:r>
              <w:rPr>
                <w:rFonts w:ascii="Garamond" w:hAnsi="Garamond"/>
                <w:iCs/>
                <w:sz w:val="20"/>
                <w:szCs w:val="20"/>
              </w:rPr>
              <w:t>..</w:t>
            </w:r>
            <w:proofErr w:type="gramEnd"/>
          </w:p>
          <w:p w14:paraId="4394C06A" w14:textId="77777777" w:rsidR="00E74F3E" w:rsidRPr="00DD2B43" w:rsidRDefault="00E74F3E" w:rsidP="000F69E6">
            <w:pPr>
              <w:rPr>
                <w:rFonts w:ascii="Garamond" w:hAnsi="Garamond"/>
                <w:sz w:val="20"/>
                <w:szCs w:val="20"/>
              </w:rPr>
            </w:pPr>
          </w:p>
        </w:tc>
        <w:tc>
          <w:tcPr>
            <w:tcW w:w="1276" w:type="dxa"/>
            <w:shd w:val="clear" w:color="auto" w:fill="auto"/>
          </w:tcPr>
          <w:p w14:paraId="3CA687BD" w14:textId="77777777" w:rsidR="00E74F3E" w:rsidRPr="00DD2B43" w:rsidRDefault="00E74F3E" w:rsidP="000F69E6">
            <w:pPr>
              <w:rPr>
                <w:rFonts w:ascii="Garamond" w:eastAsiaTheme="minorEastAsia" w:hAnsi="Garamond" w:cs="Times New Roman"/>
                <w:sz w:val="20"/>
                <w:szCs w:val="20"/>
                <w:lang w:val="en-AU"/>
              </w:rPr>
            </w:pPr>
            <w:r w:rsidRPr="00DD2B43">
              <w:rPr>
                <w:rFonts w:ascii="Garamond" w:hAnsi="Garamond"/>
                <w:sz w:val="20"/>
                <w:szCs w:val="20"/>
              </w:rPr>
              <w:lastRenderedPageBreak/>
              <w:t xml:space="preserve">MOF </w:t>
            </w:r>
          </w:p>
          <w:p w14:paraId="5BB22058" w14:textId="77777777" w:rsidR="00E74F3E" w:rsidRPr="00DD2B43" w:rsidRDefault="00E74F3E" w:rsidP="000F69E6">
            <w:pPr>
              <w:rPr>
                <w:rFonts w:ascii="Garamond" w:eastAsiaTheme="minorEastAsia" w:hAnsi="Garamond"/>
                <w:sz w:val="20"/>
                <w:szCs w:val="20"/>
              </w:rPr>
            </w:pPr>
          </w:p>
          <w:p w14:paraId="5B8FC322" w14:textId="77777777" w:rsidR="00E74F3E" w:rsidRPr="00DD2B43" w:rsidRDefault="00E74F3E" w:rsidP="000F69E6">
            <w:pPr>
              <w:rPr>
                <w:rFonts w:ascii="Garamond" w:eastAsiaTheme="minorEastAsia" w:hAnsi="Garamond"/>
                <w:sz w:val="20"/>
                <w:szCs w:val="20"/>
              </w:rPr>
            </w:pPr>
          </w:p>
          <w:p w14:paraId="353DD029" w14:textId="77777777" w:rsidR="00E74F3E" w:rsidRPr="00DD2B43" w:rsidRDefault="00E74F3E" w:rsidP="000F69E6">
            <w:pPr>
              <w:rPr>
                <w:rFonts w:ascii="Garamond" w:eastAsiaTheme="minorEastAsia" w:hAnsi="Garamond"/>
                <w:sz w:val="20"/>
                <w:szCs w:val="20"/>
              </w:rPr>
            </w:pPr>
          </w:p>
          <w:p w14:paraId="1F678273" w14:textId="77777777" w:rsidR="00E74F3E" w:rsidRPr="00DD2B43" w:rsidRDefault="00E74F3E" w:rsidP="000F69E6">
            <w:pPr>
              <w:rPr>
                <w:rFonts w:ascii="Garamond" w:eastAsiaTheme="minorEastAsia" w:hAnsi="Garamond"/>
                <w:sz w:val="20"/>
                <w:szCs w:val="20"/>
              </w:rPr>
            </w:pPr>
          </w:p>
          <w:p w14:paraId="6104292D" w14:textId="77777777" w:rsidR="00E74F3E" w:rsidRPr="00DD2B43" w:rsidRDefault="00E74F3E" w:rsidP="000F69E6">
            <w:pPr>
              <w:rPr>
                <w:rFonts w:ascii="Garamond" w:eastAsiaTheme="minorEastAsia" w:hAnsi="Garamond"/>
                <w:sz w:val="20"/>
                <w:szCs w:val="20"/>
              </w:rPr>
            </w:pPr>
          </w:p>
          <w:p w14:paraId="77AC9469" w14:textId="77777777" w:rsidR="00E74F3E" w:rsidRPr="00DD2B43" w:rsidRDefault="00E74F3E" w:rsidP="000F69E6">
            <w:pPr>
              <w:rPr>
                <w:rFonts w:ascii="Garamond" w:eastAsiaTheme="minorEastAsia" w:hAnsi="Garamond"/>
                <w:sz w:val="20"/>
                <w:szCs w:val="20"/>
              </w:rPr>
            </w:pPr>
          </w:p>
          <w:p w14:paraId="32C68405" w14:textId="77777777" w:rsidR="00E74F3E" w:rsidRDefault="00E74F3E" w:rsidP="000F69E6">
            <w:pPr>
              <w:rPr>
                <w:rFonts w:ascii="Garamond" w:eastAsiaTheme="minorEastAsia" w:hAnsi="Garamond"/>
                <w:sz w:val="20"/>
                <w:szCs w:val="20"/>
              </w:rPr>
            </w:pPr>
          </w:p>
          <w:p w14:paraId="04C381AC" w14:textId="77777777" w:rsidR="0095404C" w:rsidRDefault="0095404C" w:rsidP="000F69E6">
            <w:pPr>
              <w:rPr>
                <w:rFonts w:ascii="Garamond" w:eastAsiaTheme="minorEastAsia" w:hAnsi="Garamond"/>
                <w:sz w:val="20"/>
                <w:szCs w:val="20"/>
              </w:rPr>
            </w:pPr>
          </w:p>
          <w:p w14:paraId="5B524C65" w14:textId="77777777" w:rsidR="0095404C" w:rsidRPr="00DD2B43" w:rsidRDefault="0095404C" w:rsidP="000F69E6">
            <w:pPr>
              <w:rPr>
                <w:rFonts w:ascii="Garamond" w:eastAsiaTheme="minorEastAsia" w:hAnsi="Garamond"/>
                <w:sz w:val="20"/>
                <w:szCs w:val="20"/>
              </w:rPr>
            </w:pPr>
          </w:p>
          <w:p w14:paraId="7F499F45" w14:textId="77777777" w:rsidR="00E74F3E" w:rsidRPr="00DD2B43" w:rsidRDefault="00E74F3E" w:rsidP="000F69E6">
            <w:pPr>
              <w:rPr>
                <w:rFonts w:ascii="Garamond" w:eastAsiaTheme="minorEastAsia" w:hAnsi="Garamond" w:cs="Times New Roman"/>
                <w:sz w:val="20"/>
                <w:szCs w:val="20"/>
                <w:lang w:val="en-AU"/>
              </w:rPr>
            </w:pPr>
            <w:r w:rsidRPr="00DD2B43">
              <w:rPr>
                <w:rFonts w:ascii="Garamond" w:hAnsi="Garamond"/>
                <w:sz w:val="20"/>
                <w:szCs w:val="20"/>
              </w:rPr>
              <w:t xml:space="preserve">MOF, </w:t>
            </w:r>
            <w:r w:rsidR="0095404C">
              <w:rPr>
                <w:rFonts w:ascii="Garamond" w:hAnsi="Garamond"/>
                <w:sz w:val="20"/>
                <w:szCs w:val="20"/>
              </w:rPr>
              <w:t xml:space="preserve">MOIC, </w:t>
            </w:r>
            <w:r w:rsidRPr="00DD2B43">
              <w:rPr>
                <w:rFonts w:ascii="Garamond" w:hAnsi="Garamond"/>
                <w:sz w:val="20"/>
                <w:szCs w:val="20"/>
              </w:rPr>
              <w:t>MPI &amp; BOL</w:t>
            </w:r>
          </w:p>
          <w:p w14:paraId="46701F70" w14:textId="77777777" w:rsidR="00E74F3E" w:rsidRPr="00DD2B43" w:rsidRDefault="00E74F3E" w:rsidP="000F69E6">
            <w:pPr>
              <w:rPr>
                <w:rFonts w:ascii="Garamond" w:eastAsiaTheme="minorEastAsia" w:hAnsi="Garamond"/>
                <w:sz w:val="20"/>
                <w:szCs w:val="20"/>
              </w:rPr>
            </w:pPr>
          </w:p>
          <w:p w14:paraId="5672F1D0" w14:textId="77777777" w:rsidR="00E74F3E" w:rsidRPr="00DD2B43" w:rsidRDefault="00E74F3E" w:rsidP="000F69E6">
            <w:pPr>
              <w:rPr>
                <w:rFonts w:ascii="Garamond" w:eastAsiaTheme="minorEastAsia" w:hAnsi="Garamond"/>
                <w:sz w:val="20"/>
                <w:szCs w:val="20"/>
              </w:rPr>
            </w:pPr>
          </w:p>
          <w:p w14:paraId="12B3A882" w14:textId="77777777" w:rsidR="00E74F3E" w:rsidRPr="00DD2B43" w:rsidRDefault="00E74F3E" w:rsidP="000F69E6">
            <w:pPr>
              <w:rPr>
                <w:rFonts w:ascii="Garamond" w:eastAsiaTheme="minorEastAsia" w:hAnsi="Garamond"/>
                <w:sz w:val="20"/>
                <w:szCs w:val="20"/>
              </w:rPr>
            </w:pPr>
          </w:p>
          <w:p w14:paraId="115444F1" w14:textId="77777777" w:rsidR="00E74F3E" w:rsidRPr="00DD2B43" w:rsidRDefault="00E74F3E" w:rsidP="000F69E6">
            <w:pPr>
              <w:rPr>
                <w:rFonts w:ascii="Garamond" w:eastAsiaTheme="minorEastAsia" w:hAnsi="Garamond"/>
                <w:sz w:val="20"/>
                <w:szCs w:val="20"/>
              </w:rPr>
            </w:pPr>
          </w:p>
          <w:p w14:paraId="4D0570CC" w14:textId="77777777" w:rsidR="008D11DF" w:rsidRDefault="008D11DF" w:rsidP="000F69E6">
            <w:pPr>
              <w:rPr>
                <w:rFonts w:ascii="Garamond" w:hAnsi="Garamond"/>
                <w:sz w:val="20"/>
                <w:szCs w:val="20"/>
              </w:rPr>
            </w:pPr>
          </w:p>
          <w:p w14:paraId="64C51D12" w14:textId="77777777" w:rsidR="008D11DF" w:rsidRDefault="008D11DF" w:rsidP="000F69E6">
            <w:pPr>
              <w:rPr>
                <w:rFonts w:ascii="Garamond" w:hAnsi="Garamond"/>
                <w:sz w:val="20"/>
                <w:szCs w:val="20"/>
              </w:rPr>
            </w:pPr>
          </w:p>
          <w:p w14:paraId="4F59A25D" w14:textId="77777777" w:rsidR="00EE6E95" w:rsidRDefault="00EE6E95" w:rsidP="000F69E6">
            <w:pPr>
              <w:rPr>
                <w:rFonts w:ascii="Garamond" w:hAnsi="Garamond"/>
                <w:sz w:val="20"/>
                <w:szCs w:val="20"/>
              </w:rPr>
            </w:pPr>
          </w:p>
          <w:p w14:paraId="78F92902" w14:textId="77777777" w:rsidR="008D11DF" w:rsidRDefault="008D11DF" w:rsidP="000F69E6">
            <w:pPr>
              <w:rPr>
                <w:rFonts w:ascii="Garamond" w:hAnsi="Garamond"/>
                <w:sz w:val="20"/>
                <w:szCs w:val="20"/>
              </w:rPr>
            </w:pPr>
          </w:p>
          <w:p w14:paraId="3A8576DE" w14:textId="77777777" w:rsidR="00E74F3E" w:rsidRDefault="00E74F3E" w:rsidP="000F69E6">
            <w:pPr>
              <w:rPr>
                <w:rFonts w:ascii="Garamond" w:hAnsi="Garamond"/>
                <w:sz w:val="20"/>
                <w:szCs w:val="20"/>
              </w:rPr>
            </w:pPr>
            <w:r w:rsidRPr="00DD2B43">
              <w:rPr>
                <w:rFonts w:ascii="Garamond" w:hAnsi="Garamond"/>
                <w:sz w:val="20"/>
                <w:szCs w:val="20"/>
              </w:rPr>
              <w:t xml:space="preserve">MOF </w:t>
            </w:r>
          </w:p>
          <w:p w14:paraId="2D2DE603" w14:textId="77777777" w:rsidR="00E2418A" w:rsidRDefault="00E2418A" w:rsidP="000F69E6">
            <w:pPr>
              <w:rPr>
                <w:rFonts w:ascii="Garamond" w:hAnsi="Garamond"/>
                <w:sz w:val="20"/>
                <w:szCs w:val="20"/>
              </w:rPr>
            </w:pPr>
          </w:p>
          <w:p w14:paraId="54DDBFE1" w14:textId="77777777" w:rsidR="00E2418A" w:rsidRDefault="00E2418A" w:rsidP="000F69E6">
            <w:pPr>
              <w:rPr>
                <w:rFonts w:ascii="Garamond" w:hAnsi="Garamond"/>
                <w:sz w:val="20"/>
                <w:szCs w:val="20"/>
              </w:rPr>
            </w:pPr>
          </w:p>
          <w:p w14:paraId="5A16FCD1" w14:textId="77777777" w:rsidR="00E2418A" w:rsidRDefault="00E2418A" w:rsidP="000F69E6">
            <w:pPr>
              <w:rPr>
                <w:rFonts w:ascii="Garamond" w:hAnsi="Garamond"/>
                <w:sz w:val="20"/>
                <w:szCs w:val="20"/>
              </w:rPr>
            </w:pPr>
          </w:p>
          <w:p w14:paraId="3EEDD536" w14:textId="77777777" w:rsidR="00E2418A" w:rsidRDefault="00E2418A" w:rsidP="000F69E6">
            <w:pPr>
              <w:rPr>
                <w:rFonts w:ascii="Garamond" w:hAnsi="Garamond"/>
                <w:sz w:val="20"/>
                <w:szCs w:val="20"/>
              </w:rPr>
            </w:pPr>
          </w:p>
          <w:p w14:paraId="4519590D" w14:textId="77777777" w:rsidR="00E2418A" w:rsidRDefault="00E2418A" w:rsidP="000F69E6">
            <w:pPr>
              <w:rPr>
                <w:rFonts w:ascii="Garamond" w:hAnsi="Garamond"/>
                <w:sz w:val="20"/>
                <w:szCs w:val="20"/>
              </w:rPr>
            </w:pPr>
          </w:p>
          <w:p w14:paraId="787A18CB" w14:textId="77777777" w:rsidR="00E2418A" w:rsidRDefault="00E2418A" w:rsidP="000F69E6">
            <w:pPr>
              <w:rPr>
                <w:rFonts w:ascii="Garamond" w:hAnsi="Garamond"/>
                <w:sz w:val="20"/>
                <w:szCs w:val="20"/>
              </w:rPr>
            </w:pPr>
          </w:p>
          <w:p w14:paraId="7F16121D" w14:textId="77777777" w:rsidR="00E2418A" w:rsidRDefault="00E2418A" w:rsidP="000F69E6">
            <w:pPr>
              <w:rPr>
                <w:rFonts w:ascii="Garamond" w:hAnsi="Garamond"/>
                <w:sz w:val="20"/>
                <w:szCs w:val="20"/>
              </w:rPr>
            </w:pPr>
          </w:p>
          <w:p w14:paraId="0CC1D1CF" w14:textId="77777777" w:rsidR="00E2418A" w:rsidRDefault="00E2418A" w:rsidP="000F69E6">
            <w:pPr>
              <w:rPr>
                <w:rFonts w:ascii="Garamond" w:hAnsi="Garamond"/>
                <w:sz w:val="20"/>
                <w:szCs w:val="20"/>
              </w:rPr>
            </w:pPr>
          </w:p>
          <w:p w14:paraId="029A9BA3" w14:textId="77777777" w:rsidR="00E2418A" w:rsidRDefault="00E2418A" w:rsidP="000F69E6">
            <w:pPr>
              <w:rPr>
                <w:rFonts w:ascii="Garamond" w:hAnsi="Garamond"/>
                <w:sz w:val="20"/>
                <w:szCs w:val="20"/>
              </w:rPr>
            </w:pPr>
          </w:p>
          <w:p w14:paraId="005180DA" w14:textId="77777777" w:rsidR="00E2418A" w:rsidRDefault="00E2418A" w:rsidP="000F69E6">
            <w:pPr>
              <w:rPr>
                <w:rFonts w:ascii="Garamond" w:hAnsi="Garamond"/>
                <w:sz w:val="20"/>
                <w:szCs w:val="20"/>
              </w:rPr>
            </w:pPr>
          </w:p>
          <w:p w14:paraId="51C8ED5C" w14:textId="77777777" w:rsidR="00E2418A" w:rsidRDefault="00E2418A" w:rsidP="000F69E6">
            <w:pPr>
              <w:rPr>
                <w:rFonts w:ascii="Garamond" w:hAnsi="Garamond"/>
                <w:sz w:val="20"/>
                <w:szCs w:val="20"/>
              </w:rPr>
            </w:pPr>
          </w:p>
          <w:p w14:paraId="2446BBCF" w14:textId="77777777" w:rsidR="00E2418A" w:rsidRDefault="00E2418A" w:rsidP="000F69E6">
            <w:pPr>
              <w:rPr>
                <w:rFonts w:ascii="Garamond" w:hAnsi="Garamond"/>
                <w:sz w:val="20"/>
                <w:szCs w:val="20"/>
              </w:rPr>
            </w:pPr>
          </w:p>
          <w:p w14:paraId="489FB22A" w14:textId="77777777" w:rsidR="00E2418A" w:rsidRDefault="00E2418A" w:rsidP="000F69E6">
            <w:pPr>
              <w:rPr>
                <w:rFonts w:ascii="Garamond" w:hAnsi="Garamond"/>
                <w:sz w:val="20"/>
                <w:szCs w:val="20"/>
              </w:rPr>
            </w:pPr>
          </w:p>
          <w:p w14:paraId="3182D76A" w14:textId="77777777" w:rsidR="00E2418A" w:rsidRDefault="00E2418A" w:rsidP="000F69E6">
            <w:pPr>
              <w:rPr>
                <w:rFonts w:ascii="Garamond" w:hAnsi="Garamond"/>
                <w:sz w:val="20"/>
                <w:szCs w:val="20"/>
              </w:rPr>
            </w:pPr>
          </w:p>
          <w:p w14:paraId="038ED567" w14:textId="77777777" w:rsidR="00E2418A" w:rsidRDefault="00E2418A" w:rsidP="000F69E6">
            <w:pPr>
              <w:rPr>
                <w:rFonts w:ascii="Garamond" w:hAnsi="Garamond"/>
                <w:sz w:val="20"/>
                <w:szCs w:val="20"/>
              </w:rPr>
            </w:pPr>
          </w:p>
          <w:p w14:paraId="199D865E" w14:textId="77777777" w:rsidR="00E2418A" w:rsidRDefault="00E2418A" w:rsidP="000F69E6">
            <w:pPr>
              <w:rPr>
                <w:rFonts w:ascii="Garamond" w:hAnsi="Garamond"/>
                <w:sz w:val="20"/>
                <w:szCs w:val="20"/>
              </w:rPr>
            </w:pPr>
          </w:p>
          <w:p w14:paraId="4B389598" w14:textId="77777777" w:rsidR="00E2418A" w:rsidRDefault="00E2418A" w:rsidP="000F69E6">
            <w:pPr>
              <w:rPr>
                <w:rFonts w:ascii="Garamond" w:hAnsi="Garamond"/>
                <w:sz w:val="20"/>
                <w:szCs w:val="20"/>
              </w:rPr>
            </w:pPr>
          </w:p>
          <w:p w14:paraId="54CFD311" w14:textId="77777777" w:rsidR="00E2418A" w:rsidRDefault="00E2418A" w:rsidP="000F69E6">
            <w:pPr>
              <w:rPr>
                <w:rFonts w:ascii="Garamond" w:hAnsi="Garamond"/>
                <w:sz w:val="20"/>
                <w:szCs w:val="20"/>
              </w:rPr>
            </w:pPr>
          </w:p>
          <w:p w14:paraId="43E10DC4" w14:textId="77777777" w:rsidR="00E2418A" w:rsidRDefault="00E2418A" w:rsidP="000F69E6">
            <w:pPr>
              <w:rPr>
                <w:rFonts w:ascii="Garamond" w:hAnsi="Garamond"/>
                <w:sz w:val="20"/>
                <w:szCs w:val="20"/>
              </w:rPr>
            </w:pPr>
          </w:p>
          <w:p w14:paraId="2BD9E2D5" w14:textId="77777777" w:rsidR="00E2418A" w:rsidRDefault="00E2418A" w:rsidP="000F69E6">
            <w:pPr>
              <w:rPr>
                <w:rFonts w:ascii="Garamond" w:hAnsi="Garamond"/>
                <w:sz w:val="20"/>
                <w:szCs w:val="20"/>
              </w:rPr>
            </w:pPr>
          </w:p>
          <w:p w14:paraId="60DFDBEB" w14:textId="77777777" w:rsidR="00E2418A" w:rsidRDefault="00E2418A" w:rsidP="000F69E6">
            <w:pPr>
              <w:rPr>
                <w:rFonts w:ascii="Garamond" w:hAnsi="Garamond"/>
                <w:sz w:val="20"/>
                <w:szCs w:val="20"/>
              </w:rPr>
            </w:pPr>
          </w:p>
          <w:p w14:paraId="0704BEB6" w14:textId="77777777" w:rsidR="00E2418A" w:rsidRDefault="00E2418A" w:rsidP="000F69E6">
            <w:pPr>
              <w:rPr>
                <w:rFonts w:ascii="Garamond" w:hAnsi="Garamond"/>
                <w:sz w:val="20"/>
                <w:szCs w:val="20"/>
              </w:rPr>
            </w:pPr>
          </w:p>
          <w:p w14:paraId="5C14F4A7" w14:textId="77777777" w:rsidR="00E2418A" w:rsidRDefault="00E2418A" w:rsidP="000F69E6">
            <w:pPr>
              <w:rPr>
                <w:rFonts w:ascii="Garamond" w:hAnsi="Garamond"/>
                <w:sz w:val="20"/>
                <w:szCs w:val="20"/>
              </w:rPr>
            </w:pPr>
          </w:p>
          <w:p w14:paraId="2AFA8EC6" w14:textId="0F7E0C76" w:rsidR="00E2418A" w:rsidRDefault="00E2418A" w:rsidP="000F69E6">
            <w:pPr>
              <w:rPr>
                <w:rFonts w:ascii="Garamond" w:hAnsi="Garamond"/>
                <w:sz w:val="20"/>
                <w:szCs w:val="20"/>
              </w:rPr>
            </w:pPr>
            <w:r>
              <w:rPr>
                <w:rFonts w:ascii="Garamond" w:hAnsi="Garamond"/>
                <w:sz w:val="20"/>
                <w:szCs w:val="20"/>
              </w:rPr>
              <w:t>BOL</w:t>
            </w:r>
          </w:p>
          <w:p w14:paraId="69440F2E" w14:textId="77777777" w:rsidR="00E2418A" w:rsidRDefault="00E2418A" w:rsidP="000F69E6">
            <w:pPr>
              <w:rPr>
                <w:rFonts w:ascii="Garamond" w:hAnsi="Garamond"/>
                <w:sz w:val="20"/>
                <w:szCs w:val="20"/>
              </w:rPr>
            </w:pPr>
          </w:p>
          <w:p w14:paraId="73073BF6" w14:textId="77777777" w:rsidR="00E2418A" w:rsidRDefault="00E2418A" w:rsidP="000F69E6">
            <w:pPr>
              <w:rPr>
                <w:rFonts w:ascii="Garamond" w:hAnsi="Garamond"/>
                <w:sz w:val="20"/>
                <w:szCs w:val="20"/>
              </w:rPr>
            </w:pPr>
          </w:p>
          <w:p w14:paraId="77944DEA" w14:textId="77777777" w:rsidR="00E2418A" w:rsidRDefault="00E2418A" w:rsidP="000F69E6">
            <w:pPr>
              <w:rPr>
                <w:rFonts w:ascii="Garamond" w:hAnsi="Garamond"/>
                <w:sz w:val="20"/>
                <w:szCs w:val="20"/>
              </w:rPr>
            </w:pPr>
          </w:p>
          <w:p w14:paraId="708E73A4" w14:textId="77777777" w:rsidR="00E2418A" w:rsidRPr="00DD2B43" w:rsidRDefault="00E2418A" w:rsidP="000F69E6">
            <w:pPr>
              <w:rPr>
                <w:rFonts w:ascii="Garamond" w:hAnsi="Garamond"/>
                <w:b/>
                <w:sz w:val="20"/>
                <w:szCs w:val="20"/>
              </w:rPr>
            </w:pPr>
          </w:p>
        </w:tc>
        <w:tc>
          <w:tcPr>
            <w:tcW w:w="2324" w:type="dxa"/>
            <w:shd w:val="clear" w:color="auto" w:fill="auto"/>
          </w:tcPr>
          <w:p w14:paraId="23F73BC3" w14:textId="77777777" w:rsidR="00E74F3E" w:rsidRPr="00DD2B43" w:rsidRDefault="00E74F3E" w:rsidP="000F69E6">
            <w:pPr>
              <w:rPr>
                <w:rFonts w:ascii="Garamond" w:hAnsi="Garamond"/>
                <w:sz w:val="20"/>
                <w:szCs w:val="20"/>
                <w:lang w:bidi="th-TH"/>
              </w:rPr>
            </w:pPr>
            <w:r w:rsidRPr="00DD2B43">
              <w:rPr>
                <w:rFonts w:ascii="Garamond" w:hAnsi="Garamond"/>
                <w:sz w:val="20"/>
                <w:szCs w:val="20"/>
                <w:lang w:bidi="th-TH"/>
              </w:rPr>
              <w:lastRenderedPageBreak/>
              <w:t>MOF with support from ADB developed a fiscal framework. This aims to feed into the fiscal strategy and the on-going formation of a macroeconomic framework led by MPI.</w:t>
            </w:r>
            <w:r w:rsidR="0095404C">
              <w:rPr>
                <w:rFonts w:ascii="Garamond" w:hAnsi="Garamond"/>
                <w:sz w:val="20"/>
                <w:szCs w:val="20"/>
                <w:lang w:bidi="th-TH"/>
              </w:rPr>
              <w:t xml:space="preserve"> It is still work in progress</w:t>
            </w:r>
            <w:r w:rsidRPr="00DD2B43">
              <w:rPr>
                <w:rFonts w:ascii="Garamond" w:hAnsi="Garamond"/>
                <w:sz w:val="20"/>
                <w:szCs w:val="20"/>
                <w:lang w:bidi="th-TH"/>
              </w:rPr>
              <w:t xml:space="preserve"> </w:t>
            </w:r>
          </w:p>
          <w:p w14:paraId="5EBC71F1" w14:textId="77777777" w:rsidR="00E74F3E" w:rsidRPr="00DD2B43" w:rsidRDefault="00E74F3E" w:rsidP="000F69E6">
            <w:pPr>
              <w:rPr>
                <w:rFonts w:ascii="Garamond" w:hAnsi="Garamond"/>
                <w:sz w:val="20"/>
                <w:szCs w:val="20"/>
                <w:lang w:bidi="th-TH"/>
              </w:rPr>
            </w:pPr>
          </w:p>
          <w:p w14:paraId="461DAE47" w14:textId="77777777" w:rsidR="00E74F3E" w:rsidRDefault="00E74F3E" w:rsidP="000F69E6">
            <w:pPr>
              <w:rPr>
                <w:rFonts w:ascii="Garamond" w:hAnsi="Garamond"/>
                <w:sz w:val="20"/>
                <w:szCs w:val="20"/>
                <w:lang w:bidi="th-TH"/>
              </w:rPr>
            </w:pPr>
            <w:r w:rsidRPr="00DD2B43">
              <w:rPr>
                <w:rFonts w:ascii="Garamond" w:hAnsi="Garamond"/>
                <w:sz w:val="20"/>
                <w:szCs w:val="20"/>
                <w:lang w:bidi="th-TH"/>
              </w:rPr>
              <w:t xml:space="preserve">Monetary and BOP data availability is generally a quarter lag. Some fiscal data has shorter lag. </w:t>
            </w:r>
          </w:p>
          <w:p w14:paraId="7BB3BC2C" w14:textId="77777777" w:rsidR="00295F9B" w:rsidRDefault="00295F9B" w:rsidP="000F69E6">
            <w:pPr>
              <w:rPr>
                <w:rFonts w:ascii="Garamond" w:hAnsi="Garamond"/>
                <w:sz w:val="20"/>
                <w:szCs w:val="20"/>
                <w:lang w:bidi="th-TH"/>
              </w:rPr>
            </w:pPr>
          </w:p>
          <w:p w14:paraId="3946D0C8" w14:textId="77777777" w:rsidR="00295F9B" w:rsidRDefault="00295F9B" w:rsidP="000F69E6">
            <w:pPr>
              <w:rPr>
                <w:rFonts w:ascii="Garamond" w:hAnsi="Garamond"/>
                <w:sz w:val="20"/>
                <w:szCs w:val="20"/>
                <w:lang w:bidi="th-TH"/>
              </w:rPr>
            </w:pPr>
          </w:p>
          <w:p w14:paraId="6CC4589A" w14:textId="77777777" w:rsidR="00295F9B" w:rsidRDefault="00295F9B" w:rsidP="000F69E6">
            <w:pPr>
              <w:rPr>
                <w:rFonts w:ascii="Garamond" w:hAnsi="Garamond"/>
                <w:sz w:val="20"/>
                <w:szCs w:val="20"/>
                <w:lang w:bidi="th-TH"/>
              </w:rPr>
            </w:pPr>
          </w:p>
          <w:p w14:paraId="09A71A08" w14:textId="77777777" w:rsidR="00295F9B" w:rsidRDefault="00295F9B" w:rsidP="005A5FA4">
            <w:pPr>
              <w:rPr>
                <w:rFonts w:ascii="Garamond" w:hAnsi="Garamond"/>
                <w:b/>
                <w:sz w:val="20"/>
                <w:szCs w:val="20"/>
              </w:rPr>
            </w:pPr>
          </w:p>
          <w:p w14:paraId="6A9E5263" w14:textId="77777777" w:rsidR="008D11DF" w:rsidRDefault="008D11DF" w:rsidP="005A5FA4">
            <w:pPr>
              <w:rPr>
                <w:rFonts w:ascii="Garamond" w:hAnsi="Garamond"/>
                <w:b/>
                <w:sz w:val="20"/>
                <w:szCs w:val="20"/>
              </w:rPr>
            </w:pPr>
          </w:p>
          <w:p w14:paraId="7F0A75E4" w14:textId="77777777" w:rsidR="00EE6E95" w:rsidRDefault="00EE6E95" w:rsidP="005A5FA4">
            <w:pPr>
              <w:rPr>
                <w:rFonts w:ascii="Garamond" w:hAnsi="Garamond"/>
                <w:b/>
                <w:sz w:val="20"/>
                <w:szCs w:val="20"/>
              </w:rPr>
            </w:pPr>
          </w:p>
          <w:p w14:paraId="56CB839E" w14:textId="77777777" w:rsidR="008D11DF" w:rsidRDefault="008D11DF" w:rsidP="005A5FA4">
            <w:pPr>
              <w:rPr>
                <w:rFonts w:ascii="Garamond" w:hAnsi="Garamond"/>
                <w:b/>
                <w:sz w:val="20"/>
                <w:szCs w:val="20"/>
              </w:rPr>
            </w:pPr>
          </w:p>
          <w:p w14:paraId="7E6C1D0A" w14:textId="18CEFD93" w:rsidR="008D11DF" w:rsidRPr="005A5FA4" w:rsidRDefault="008D11DF" w:rsidP="005A5FA4">
            <w:pPr>
              <w:rPr>
                <w:rFonts w:ascii="Garamond" w:hAnsi="Garamond"/>
                <w:sz w:val="20"/>
                <w:szCs w:val="20"/>
              </w:rPr>
            </w:pPr>
            <w:r>
              <w:rPr>
                <w:rFonts w:ascii="Garamond" w:hAnsi="Garamond"/>
                <w:sz w:val="20"/>
                <w:szCs w:val="20"/>
              </w:rPr>
              <w:t xml:space="preserve">In response to tight fiscal liquidity, MOF strengthened tax administration by taking stocks of tax payers units, introducing tax payments through the banking </w:t>
            </w:r>
            <w:r>
              <w:rPr>
                <w:rFonts w:ascii="Garamond" w:hAnsi="Garamond"/>
                <w:sz w:val="20"/>
                <w:szCs w:val="20"/>
              </w:rPr>
              <w:lastRenderedPageBreak/>
              <w:t>system</w:t>
            </w:r>
          </w:p>
        </w:tc>
        <w:tc>
          <w:tcPr>
            <w:tcW w:w="2250" w:type="dxa"/>
            <w:shd w:val="clear" w:color="auto" w:fill="auto"/>
          </w:tcPr>
          <w:p w14:paraId="14A2F774" w14:textId="77777777" w:rsidR="00E74F3E" w:rsidRPr="00DD2B43" w:rsidRDefault="00E74F3E" w:rsidP="000F69E6">
            <w:pPr>
              <w:rPr>
                <w:rFonts w:ascii="Garamond" w:hAnsi="Garamond"/>
                <w:sz w:val="20"/>
                <w:szCs w:val="20"/>
                <w:lang w:bidi="th-TH"/>
              </w:rPr>
            </w:pPr>
            <w:r w:rsidRPr="00DD2B43">
              <w:rPr>
                <w:rFonts w:ascii="Garamond" w:hAnsi="Garamond"/>
                <w:sz w:val="20"/>
                <w:szCs w:val="20"/>
                <w:lang w:bidi="th-TH"/>
              </w:rPr>
              <w:lastRenderedPageBreak/>
              <w:t>First draft of t</w:t>
            </w:r>
            <w:r w:rsidR="0095404C">
              <w:rPr>
                <w:rFonts w:ascii="Garamond" w:hAnsi="Garamond"/>
                <w:sz w:val="20"/>
                <w:szCs w:val="20"/>
                <w:lang w:bidi="th-TH"/>
              </w:rPr>
              <w:t>he Fiscal strategy is completed but still in the process of internal MOF review</w:t>
            </w:r>
            <w:r w:rsidRPr="00DD2B43">
              <w:rPr>
                <w:rFonts w:ascii="Garamond" w:hAnsi="Garamond"/>
                <w:sz w:val="20"/>
                <w:szCs w:val="20"/>
                <w:lang w:bidi="th-TH"/>
              </w:rPr>
              <w:t xml:space="preserve"> </w:t>
            </w:r>
          </w:p>
          <w:p w14:paraId="4AFBE97E" w14:textId="77777777" w:rsidR="00E74F3E" w:rsidRPr="00DD2B43" w:rsidRDefault="00E74F3E" w:rsidP="000F69E6">
            <w:pPr>
              <w:rPr>
                <w:rFonts w:ascii="Garamond" w:hAnsi="Garamond"/>
                <w:sz w:val="20"/>
                <w:szCs w:val="20"/>
                <w:lang w:bidi="th-TH"/>
              </w:rPr>
            </w:pPr>
          </w:p>
          <w:p w14:paraId="3D396422" w14:textId="77777777" w:rsidR="00E74F3E" w:rsidRPr="00DD2B43" w:rsidRDefault="00E74F3E" w:rsidP="000F69E6">
            <w:pPr>
              <w:rPr>
                <w:rFonts w:ascii="Garamond" w:hAnsi="Garamond"/>
                <w:sz w:val="20"/>
                <w:szCs w:val="20"/>
                <w:lang w:bidi="th-TH"/>
              </w:rPr>
            </w:pPr>
          </w:p>
          <w:p w14:paraId="5DC352A1" w14:textId="77777777" w:rsidR="00E74F3E" w:rsidRPr="00DD2B43" w:rsidRDefault="00E74F3E" w:rsidP="000F69E6">
            <w:pPr>
              <w:rPr>
                <w:rFonts w:ascii="Garamond" w:hAnsi="Garamond"/>
                <w:sz w:val="20"/>
                <w:szCs w:val="20"/>
                <w:lang w:bidi="th-TH"/>
              </w:rPr>
            </w:pPr>
          </w:p>
          <w:p w14:paraId="2945C202" w14:textId="77777777" w:rsidR="00E74F3E" w:rsidRPr="00DD2B43" w:rsidRDefault="00E74F3E" w:rsidP="000F69E6">
            <w:pPr>
              <w:rPr>
                <w:rFonts w:ascii="Garamond" w:hAnsi="Garamond"/>
                <w:sz w:val="20"/>
                <w:szCs w:val="20"/>
                <w:lang w:bidi="th-TH"/>
              </w:rPr>
            </w:pPr>
          </w:p>
          <w:p w14:paraId="74308032" w14:textId="77777777" w:rsidR="00E74F3E" w:rsidRPr="00DD2B43" w:rsidRDefault="00E74F3E" w:rsidP="000F69E6">
            <w:pPr>
              <w:rPr>
                <w:rFonts w:ascii="Garamond" w:hAnsi="Garamond"/>
                <w:sz w:val="20"/>
                <w:szCs w:val="20"/>
                <w:lang w:bidi="th-TH"/>
              </w:rPr>
            </w:pPr>
          </w:p>
          <w:p w14:paraId="03B2E438" w14:textId="77777777" w:rsidR="00E74F3E" w:rsidRPr="00DD2B43" w:rsidRDefault="00E74F3E" w:rsidP="000F69E6">
            <w:pPr>
              <w:rPr>
                <w:rFonts w:ascii="Garamond" w:hAnsi="Garamond"/>
                <w:sz w:val="20"/>
                <w:szCs w:val="20"/>
                <w:lang w:bidi="th-TH"/>
              </w:rPr>
            </w:pPr>
          </w:p>
          <w:p w14:paraId="57E2BF9A" w14:textId="77777777" w:rsidR="00E74F3E" w:rsidRDefault="00E74F3E" w:rsidP="000F69E6">
            <w:pPr>
              <w:rPr>
                <w:rFonts w:ascii="Garamond" w:hAnsi="Garamond"/>
                <w:sz w:val="20"/>
                <w:szCs w:val="20"/>
                <w:lang w:bidi="th-TH"/>
              </w:rPr>
            </w:pPr>
            <w:r w:rsidRPr="00DD2B43">
              <w:rPr>
                <w:rFonts w:ascii="Garamond" w:hAnsi="Garamond"/>
                <w:sz w:val="20"/>
                <w:szCs w:val="20"/>
                <w:lang w:bidi="th-TH"/>
              </w:rPr>
              <w:t xml:space="preserve">The delays in data availability limits up-to-date assessment on the economic situation and might impede the formulation of timely policy responses. </w:t>
            </w:r>
          </w:p>
          <w:p w14:paraId="30DD5090" w14:textId="77777777" w:rsidR="008D11DF" w:rsidRDefault="008D11DF" w:rsidP="000F69E6">
            <w:pPr>
              <w:rPr>
                <w:rFonts w:ascii="Garamond" w:hAnsi="Garamond"/>
                <w:sz w:val="20"/>
                <w:szCs w:val="20"/>
                <w:lang w:bidi="th-TH"/>
              </w:rPr>
            </w:pPr>
          </w:p>
          <w:p w14:paraId="35686115" w14:textId="77777777" w:rsidR="008D11DF" w:rsidRDefault="008D11DF" w:rsidP="000F69E6">
            <w:pPr>
              <w:rPr>
                <w:rFonts w:ascii="Garamond" w:hAnsi="Garamond"/>
                <w:sz w:val="20"/>
                <w:szCs w:val="20"/>
                <w:lang w:bidi="th-TH"/>
              </w:rPr>
            </w:pPr>
          </w:p>
          <w:p w14:paraId="00612206" w14:textId="77777777" w:rsidR="008D11DF" w:rsidRDefault="008D11DF" w:rsidP="000F69E6">
            <w:pPr>
              <w:rPr>
                <w:rFonts w:ascii="Garamond" w:hAnsi="Garamond"/>
                <w:sz w:val="20"/>
                <w:szCs w:val="20"/>
                <w:lang w:bidi="th-TH"/>
              </w:rPr>
            </w:pPr>
          </w:p>
          <w:p w14:paraId="14759CBB" w14:textId="77777777" w:rsidR="00EE6E95" w:rsidRDefault="00EE6E95" w:rsidP="000F69E6">
            <w:pPr>
              <w:rPr>
                <w:rFonts w:ascii="Garamond" w:hAnsi="Garamond"/>
                <w:sz w:val="20"/>
                <w:szCs w:val="20"/>
                <w:lang w:bidi="th-TH"/>
              </w:rPr>
            </w:pPr>
          </w:p>
          <w:p w14:paraId="00E9FB1C" w14:textId="01BFA6BB" w:rsidR="008D11DF" w:rsidRPr="00DD2B43" w:rsidRDefault="008D11DF" w:rsidP="005A5FA4">
            <w:pPr>
              <w:rPr>
                <w:rFonts w:ascii="Garamond" w:hAnsi="Garamond"/>
                <w:sz w:val="20"/>
                <w:szCs w:val="20"/>
                <w:lang w:bidi="th-TH"/>
              </w:rPr>
            </w:pPr>
            <w:r>
              <w:rPr>
                <w:rFonts w:ascii="Garamond" w:hAnsi="Garamond"/>
                <w:sz w:val="20"/>
                <w:szCs w:val="20"/>
                <w:lang w:bidi="th-TH"/>
              </w:rPr>
              <w:t xml:space="preserve">The challenge are few folds. Domestic revenue is subject to volatility of resource revenue as global commodity prices fluctuate. </w:t>
            </w:r>
            <w:r w:rsidR="00070759">
              <w:rPr>
                <w:rFonts w:ascii="Garamond" w:hAnsi="Garamond"/>
                <w:sz w:val="20"/>
                <w:szCs w:val="20"/>
                <w:lang w:bidi="th-TH"/>
              </w:rPr>
              <w:t xml:space="preserve">Non-resource tax payers are mostly </w:t>
            </w:r>
            <w:r w:rsidR="00070759">
              <w:rPr>
                <w:rFonts w:ascii="Garamond" w:hAnsi="Garamond"/>
                <w:sz w:val="20"/>
                <w:szCs w:val="20"/>
                <w:lang w:bidi="th-TH"/>
              </w:rPr>
              <w:lastRenderedPageBreak/>
              <w:t>small-medium size and do not hold proper accounting making tax obligations unclear.</w:t>
            </w:r>
            <w:r w:rsidR="0090413C">
              <w:rPr>
                <w:rFonts w:ascii="Garamond" w:hAnsi="Garamond"/>
                <w:sz w:val="20"/>
                <w:szCs w:val="20"/>
                <w:lang w:bidi="th-TH"/>
              </w:rPr>
              <w:t xml:space="preserve"> The system to facilitate tax payments</w:t>
            </w:r>
            <w:r w:rsidR="00CD3C50">
              <w:rPr>
                <w:rFonts w:ascii="Garamond" w:hAnsi="Garamond"/>
                <w:sz w:val="20"/>
                <w:szCs w:val="20"/>
                <w:lang w:bidi="th-TH"/>
              </w:rPr>
              <w:t xml:space="preserve"> </w:t>
            </w:r>
            <w:r w:rsidR="008F58A8">
              <w:rPr>
                <w:rFonts w:ascii="Garamond" w:hAnsi="Garamond"/>
                <w:sz w:val="20"/>
                <w:szCs w:val="20"/>
                <w:lang w:bidi="th-TH"/>
              </w:rPr>
              <w:t>can benefit from more streamlining</w:t>
            </w:r>
            <w:r w:rsidR="00CD3C50">
              <w:rPr>
                <w:rFonts w:ascii="Garamond" w:hAnsi="Garamond"/>
                <w:sz w:val="20"/>
                <w:szCs w:val="20"/>
                <w:lang w:bidi="th-TH"/>
              </w:rPr>
              <w:t xml:space="preserve">. </w:t>
            </w:r>
          </w:p>
        </w:tc>
        <w:tc>
          <w:tcPr>
            <w:tcW w:w="2012" w:type="dxa"/>
            <w:shd w:val="clear" w:color="auto" w:fill="auto"/>
          </w:tcPr>
          <w:p w14:paraId="2B530E94" w14:textId="77777777" w:rsidR="00E74F3E" w:rsidRPr="00DD2B43" w:rsidRDefault="00E74F3E" w:rsidP="000F69E6">
            <w:pPr>
              <w:rPr>
                <w:rFonts w:ascii="Garamond" w:hAnsi="Garamond"/>
                <w:sz w:val="20"/>
                <w:szCs w:val="20"/>
                <w:lang w:bidi="th-TH"/>
              </w:rPr>
            </w:pPr>
            <w:r w:rsidRPr="00DD2B43">
              <w:rPr>
                <w:rFonts w:ascii="Garamond" w:hAnsi="Garamond"/>
                <w:sz w:val="20"/>
                <w:szCs w:val="20"/>
                <w:lang w:bidi="th-TH"/>
              </w:rPr>
              <w:lastRenderedPageBreak/>
              <w:t xml:space="preserve">Draft fiscal strategy </w:t>
            </w:r>
            <w:r w:rsidR="0095404C">
              <w:rPr>
                <w:rFonts w:ascii="Garamond" w:hAnsi="Garamond"/>
                <w:sz w:val="20"/>
                <w:szCs w:val="20"/>
                <w:lang w:bidi="th-TH"/>
              </w:rPr>
              <w:t xml:space="preserve">is </w:t>
            </w:r>
            <w:r w:rsidRPr="00DD2B43">
              <w:rPr>
                <w:rFonts w:ascii="Garamond" w:hAnsi="Garamond"/>
                <w:sz w:val="20"/>
                <w:szCs w:val="20"/>
                <w:lang w:bidi="th-TH"/>
              </w:rPr>
              <w:t>essential in providing framework for fiscal sustainability. Essential to incorporate best practices</w:t>
            </w:r>
            <w:r w:rsidR="0095404C">
              <w:rPr>
                <w:rFonts w:ascii="Garamond" w:hAnsi="Garamond"/>
                <w:sz w:val="20"/>
                <w:szCs w:val="20"/>
                <w:lang w:bidi="th-TH"/>
              </w:rPr>
              <w:t xml:space="preserve"> and principles</w:t>
            </w:r>
            <w:r w:rsidRPr="00DD2B43">
              <w:rPr>
                <w:rFonts w:ascii="Garamond" w:hAnsi="Garamond"/>
                <w:sz w:val="20"/>
                <w:szCs w:val="20"/>
                <w:lang w:bidi="th-TH"/>
              </w:rPr>
              <w:t xml:space="preserve">. </w:t>
            </w:r>
          </w:p>
          <w:p w14:paraId="2C632074" w14:textId="77777777" w:rsidR="00E74F3E" w:rsidRDefault="00E74F3E" w:rsidP="000F69E6">
            <w:pPr>
              <w:rPr>
                <w:rFonts w:ascii="Garamond" w:hAnsi="Garamond"/>
                <w:sz w:val="20"/>
                <w:szCs w:val="20"/>
                <w:lang w:bidi="th-TH"/>
              </w:rPr>
            </w:pPr>
          </w:p>
          <w:p w14:paraId="71E0DB91" w14:textId="77777777" w:rsidR="0095404C" w:rsidRDefault="0095404C" w:rsidP="000F69E6">
            <w:pPr>
              <w:rPr>
                <w:rFonts w:ascii="Garamond" w:hAnsi="Garamond"/>
                <w:sz w:val="20"/>
                <w:szCs w:val="20"/>
                <w:lang w:bidi="th-TH"/>
              </w:rPr>
            </w:pPr>
          </w:p>
          <w:p w14:paraId="5A542E91" w14:textId="77777777" w:rsidR="0095404C" w:rsidRPr="00DD2B43" w:rsidRDefault="0095404C" w:rsidP="000F69E6">
            <w:pPr>
              <w:rPr>
                <w:rFonts w:ascii="Garamond" w:hAnsi="Garamond"/>
                <w:sz w:val="20"/>
                <w:szCs w:val="20"/>
                <w:lang w:bidi="th-TH"/>
              </w:rPr>
            </w:pPr>
          </w:p>
          <w:p w14:paraId="7DD1D009" w14:textId="77777777" w:rsidR="00E74F3E" w:rsidRDefault="00E74F3E" w:rsidP="005A5FA4">
            <w:pPr>
              <w:rPr>
                <w:rFonts w:ascii="Garamond" w:hAnsi="Garamond"/>
                <w:sz w:val="20"/>
                <w:szCs w:val="20"/>
                <w:lang w:bidi="th-TH"/>
              </w:rPr>
            </w:pPr>
            <w:r w:rsidRPr="00DD2B43">
              <w:rPr>
                <w:rFonts w:ascii="Garamond" w:hAnsi="Garamond"/>
                <w:sz w:val="20"/>
                <w:szCs w:val="20"/>
                <w:lang w:bidi="th-TH"/>
              </w:rPr>
              <w:t xml:space="preserve">Promote </w:t>
            </w:r>
            <w:r w:rsidR="0095404C">
              <w:rPr>
                <w:rFonts w:ascii="Garamond" w:hAnsi="Garamond"/>
                <w:sz w:val="20"/>
                <w:szCs w:val="20"/>
                <w:lang w:bidi="th-TH"/>
              </w:rPr>
              <w:t xml:space="preserve">timely </w:t>
            </w:r>
            <w:r w:rsidRPr="00DD2B43">
              <w:rPr>
                <w:rFonts w:ascii="Garamond" w:hAnsi="Garamond"/>
                <w:sz w:val="20"/>
                <w:szCs w:val="20"/>
                <w:lang w:bidi="th-TH"/>
              </w:rPr>
              <w:t xml:space="preserve">sharing of information </w:t>
            </w:r>
            <w:r w:rsidR="0095404C">
              <w:rPr>
                <w:rFonts w:ascii="Garamond" w:hAnsi="Garamond"/>
                <w:sz w:val="20"/>
                <w:szCs w:val="20"/>
                <w:lang w:bidi="th-TH"/>
              </w:rPr>
              <w:t xml:space="preserve">and </w:t>
            </w:r>
            <w:r w:rsidRPr="00DD2B43">
              <w:rPr>
                <w:rFonts w:ascii="Garamond" w:hAnsi="Garamond"/>
                <w:sz w:val="20"/>
                <w:szCs w:val="20"/>
                <w:lang w:bidi="th-TH"/>
              </w:rPr>
              <w:t xml:space="preserve">more </w:t>
            </w:r>
            <w:r w:rsidR="0095404C">
              <w:rPr>
                <w:rFonts w:ascii="Garamond" w:hAnsi="Garamond"/>
                <w:sz w:val="20"/>
                <w:szCs w:val="20"/>
                <w:lang w:bidi="th-TH"/>
              </w:rPr>
              <w:t>regular exchanges among the concerned agencies to promote information flows in order to feed into timely analysis as inputs for policy making</w:t>
            </w:r>
          </w:p>
          <w:p w14:paraId="7526E0DA" w14:textId="77777777" w:rsidR="00EE6E95" w:rsidRDefault="00EE6E95" w:rsidP="005A5FA4">
            <w:pPr>
              <w:rPr>
                <w:rFonts w:ascii="Garamond" w:hAnsi="Garamond"/>
                <w:sz w:val="20"/>
                <w:szCs w:val="20"/>
                <w:lang w:bidi="th-TH"/>
              </w:rPr>
            </w:pPr>
          </w:p>
          <w:p w14:paraId="3C1B58A2" w14:textId="77777777" w:rsidR="00EE6E95" w:rsidRDefault="00EE6E95" w:rsidP="005A5FA4">
            <w:pPr>
              <w:rPr>
                <w:rFonts w:ascii="Garamond" w:hAnsi="Garamond"/>
                <w:sz w:val="20"/>
                <w:szCs w:val="20"/>
                <w:lang w:bidi="th-TH"/>
              </w:rPr>
            </w:pPr>
            <w:r>
              <w:rPr>
                <w:rFonts w:ascii="Garamond" w:hAnsi="Garamond"/>
                <w:sz w:val="20"/>
                <w:szCs w:val="20"/>
                <w:lang w:bidi="th-TH"/>
              </w:rPr>
              <w:t xml:space="preserve">In broader context of restoring fiscal sustainability, </w:t>
            </w:r>
            <w:r w:rsidRPr="005A5FA4">
              <w:rPr>
                <w:rFonts w:ascii="Garamond" w:hAnsi="Garamond"/>
                <w:sz w:val="20"/>
                <w:szCs w:val="20"/>
                <w:lang w:bidi="th-TH"/>
              </w:rPr>
              <w:t>contain</w:t>
            </w:r>
            <w:r>
              <w:rPr>
                <w:rFonts w:ascii="Garamond" w:hAnsi="Garamond"/>
                <w:sz w:val="20"/>
                <w:szCs w:val="20"/>
                <w:lang w:bidi="th-TH"/>
              </w:rPr>
              <w:t>ing</w:t>
            </w:r>
            <w:r w:rsidRPr="005A5FA4">
              <w:rPr>
                <w:rFonts w:ascii="Garamond" w:hAnsi="Garamond"/>
                <w:sz w:val="20"/>
                <w:szCs w:val="20"/>
                <w:lang w:bidi="th-TH"/>
              </w:rPr>
              <w:t xml:space="preserve"> the fiscal deficit </w:t>
            </w:r>
            <w:r>
              <w:rPr>
                <w:rFonts w:ascii="Garamond" w:hAnsi="Garamond"/>
                <w:sz w:val="20"/>
                <w:szCs w:val="20"/>
                <w:lang w:bidi="th-TH"/>
              </w:rPr>
              <w:t xml:space="preserve">require, as immediate priority, </w:t>
            </w:r>
            <w:r w:rsidRPr="005A5FA4">
              <w:rPr>
                <w:rFonts w:ascii="Garamond" w:hAnsi="Garamond"/>
                <w:sz w:val="20"/>
                <w:szCs w:val="20"/>
                <w:lang w:bidi="th-TH"/>
              </w:rPr>
              <w:t xml:space="preserve">widening the tax base, </w:t>
            </w:r>
            <w:r w:rsidRPr="005A5FA4">
              <w:rPr>
                <w:rFonts w:ascii="Garamond" w:hAnsi="Garamond"/>
                <w:sz w:val="20"/>
                <w:szCs w:val="20"/>
                <w:lang w:bidi="th-TH"/>
              </w:rPr>
              <w:lastRenderedPageBreak/>
              <w:t>limiting expenditures and addressing off-budget spending.</w:t>
            </w:r>
            <w:r>
              <w:rPr>
                <w:rFonts w:ascii="Garamond" w:hAnsi="Garamond"/>
                <w:sz w:val="20"/>
                <w:szCs w:val="20"/>
                <w:lang w:bidi="th-TH"/>
              </w:rPr>
              <w:t xml:space="preserve"> Over the medium-term, </w:t>
            </w:r>
            <w:r w:rsidR="008F58A8" w:rsidRPr="005A5FA4">
              <w:rPr>
                <w:rFonts w:ascii="Garamond" w:hAnsi="Garamond"/>
                <w:sz w:val="20"/>
                <w:szCs w:val="20"/>
                <w:lang w:bidi="th-TH"/>
              </w:rPr>
              <w:t>structural reforms</w:t>
            </w:r>
            <w:r w:rsidR="00163563">
              <w:rPr>
                <w:rFonts w:ascii="Garamond" w:hAnsi="Garamond"/>
                <w:sz w:val="20"/>
                <w:szCs w:val="20"/>
                <w:lang w:bidi="th-TH"/>
              </w:rPr>
              <w:t xml:space="preserve"> on public investment management </w:t>
            </w:r>
            <w:r w:rsidR="00F13266">
              <w:rPr>
                <w:rFonts w:ascii="Garamond" w:hAnsi="Garamond"/>
                <w:sz w:val="20"/>
                <w:szCs w:val="20"/>
                <w:lang w:bidi="th-TH"/>
              </w:rPr>
              <w:t>and public procurement</w:t>
            </w:r>
            <w:r w:rsidR="008F58A8" w:rsidRPr="005A5FA4">
              <w:rPr>
                <w:rFonts w:ascii="Garamond" w:hAnsi="Garamond"/>
                <w:sz w:val="20"/>
                <w:szCs w:val="20"/>
                <w:lang w:bidi="th-TH"/>
              </w:rPr>
              <w:t>, l</w:t>
            </w:r>
            <w:r w:rsidR="008F58A8">
              <w:rPr>
                <w:rFonts w:ascii="Garamond" w:hAnsi="Garamond"/>
                <w:sz w:val="20"/>
                <w:szCs w:val="20"/>
                <w:lang w:bidi="th-TH"/>
              </w:rPr>
              <w:t>e</w:t>
            </w:r>
            <w:r w:rsidR="008F58A8" w:rsidRPr="005A5FA4">
              <w:rPr>
                <w:rFonts w:ascii="Garamond" w:hAnsi="Garamond"/>
                <w:sz w:val="20"/>
                <w:szCs w:val="20"/>
                <w:lang w:bidi="th-TH"/>
              </w:rPr>
              <w:t xml:space="preserve">gal framework as well as implementation capacity, are needed in </w:t>
            </w:r>
            <w:r w:rsidR="00F13266">
              <w:rPr>
                <w:rFonts w:ascii="Garamond" w:hAnsi="Garamond"/>
                <w:sz w:val="20"/>
                <w:szCs w:val="20"/>
                <w:lang w:bidi="th-TH"/>
              </w:rPr>
              <w:t xml:space="preserve">better link budgeting and </w:t>
            </w:r>
            <w:r w:rsidR="008F58A8" w:rsidRPr="005A5FA4">
              <w:rPr>
                <w:rFonts w:ascii="Garamond" w:hAnsi="Garamond"/>
                <w:sz w:val="20"/>
                <w:szCs w:val="20"/>
                <w:lang w:bidi="th-TH"/>
              </w:rPr>
              <w:t>planning, execution and monitoring and evaluation.</w:t>
            </w:r>
          </w:p>
          <w:p w14:paraId="00240AE8" w14:textId="77777777" w:rsidR="00792B14" w:rsidRDefault="00792B14" w:rsidP="005A5FA4">
            <w:pPr>
              <w:rPr>
                <w:rFonts w:ascii="Garamond" w:hAnsi="Garamond"/>
                <w:sz w:val="20"/>
                <w:szCs w:val="20"/>
                <w:lang w:bidi="th-TH"/>
              </w:rPr>
            </w:pPr>
          </w:p>
          <w:p w14:paraId="40F6F7A5" w14:textId="77777777" w:rsidR="00792B14" w:rsidRDefault="00E85449" w:rsidP="005A5FA4">
            <w:pPr>
              <w:rPr>
                <w:rFonts w:ascii="Garamond" w:hAnsi="Garamond"/>
                <w:sz w:val="20"/>
                <w:szCs w:val="20"/>
                <w:lang w:bidi="th-TH"/>
              </w:rPr>
            </w:pPr>
            <w:r w:rsidRPr="005A5FA4">
              <w:rPr>
                <w:rFonts w:ascii="Garamond" w:hAnsi="Garamond"/>
                <w:sz w:val="20"/>
                <w:szCs w:val="20"/>
                <w:lang w:bidi="th-TH"/>
              </w:rPr>
              <w:t xml:space="preserve">An improved </w:t>
            </w:r>
            <w:r>
              <w:rPr>
                <w:rFonts w:ascii="Garamond" w:hAnsi="Garamond"/>
                <w:sz w:val="20"/>
                <w:szCs w:val="20"/>
                <w:lang w:bidi="th-TH"/>
              </w:rPr>
              <w:t xml:space="preserve">legal and regulatory </w:t>
            </w:r>
            <w:r w:rsidRPr="005A5FA4">
              <w:rPr>
                <w:rFonts w:ascii="Garamond" w:hAnsi="Garamond"/>
                <w:sz w:val="20"/>
                <w:szCs w:val="20"/>
                <w:lang w:bidi="th-TH"/>
              </w:rPr>
              <w:t>framework in the financial sector that is consistent with international standards properly enforced, can help in strengthening the financial sector and its ability to support growth while keeping risks manageable.</w:t>
            </w:r>
            <w:r>
              <w:rPr>
                <w:rFonts w:ascii="Garamond" w:hAnsi="Garamond"/>
                <w:sz w:val="20"/>
                <w:szCs w:val="20"/>
                <w:lang w:bidi="th-TH"/>
              </w:rPr>
              <w:t xml:space="preserve"> Measures to increase capital adequacy, promote risk management, strengthen governance and disclosure in </w:t>
            </w:r>
            <w:r>
              <w:rPr>
                <w:rFonts w:ascii="Garamond" w:hAnsi="Garamond"/>
                <w:sz w:val="20"/>
                <w:szCs w:val="20"/>
                <w:lang w:bidi="th-TH"/>
              </w:rPr>
              <w:lastRenderedPageBreak/>
              <w:t xml:space="preserve">banks can help promote sector stability.   </w:t>
            </w:r>
          </w:p>
          <w:p w14:paraId="5D874FAE" w14:textId="77777777" w:rsidR="003B6DDA" w:rsidRDefault="003B6DDA" w:rsidP="005A5FA4">
            <w:pPr>
              <w:rPr>
                <w:rFonts w:ascii="Garamond" w:hAnsi="Garamond"/>
                <w:sz w:val="20"/>
                <w:szCs w:val="20"/>
                <w:lang w:bidi="th-TH"/>
              </w:rPr>
            </w:pPr>
          </w:p>
          <w:p w14:paraId="6A8B4DA9" w14:textId="2B089EC7" w:rsidR="003B6DDA" w:rsidRPr="00DD2B43" w:rsidRDefault="003B6DDA" w:rsidP="005A5FA4">
            <w:pPr>
              <w:rPr>
                <w:rFonts w:ascii="Garamond" w:hAnsi="Garamond"/>
                <w:sz w:val="20"/>
                <w:szCs w:val="20"/>
                <w:lang w:bidi="th-TH"/>
              </w:rPr>
            </w:pPr>
            <w:r w:rsidRPr="005A5FA4">
              <w:rPr>
                <w:rFonts w:ascii="Garamond" w:hAnsi="Garamond"/>
                <w:sz w:val="20"/>
                <w:szCs w:val="20"/>
                <w:lang w:bidi="th-TH"/>
              </w:rPr>
              <w:t>With increasing uncertainty in the global economy, a more flexible exchange rate policy contributes to strengthening buffers but also to supporting the competitiveness of the Lao PDR economy</w:t>
            </w:r>
          </w:p>
        </w:tc>
      </w:tr>
      <w:tr w:rsidR="00126B67" w:rsidRPr="00DD2B43" w14:paraId="43FAE18D" w14:textId="77777777" w:rsidTr="004A3689">
        <w:tc>
          <w:tcPr>
            <w:tcW w:w="13599" w:type="dxa"/>
            <w:gridSpan w:val="6"/>
            <w:shd w:val="clear" w:color="auto" w:fill="auto"/>
          </w:tcPr>
          <w:p w14:paraId="5E6C84F1" w14:textId="2E5C70AC" w:rsidR="00126B67" w:rsidRPr="005A5FA4" w:rsidRDefault="00FD0A11" w:rsidP="005A5FA4">
            <w:pPr>
              <w:rPr>
                <w:rFonts w:ascii="Garamond" w:eastAsiaTheme="minorEastAsia" w:hAnsi="Garamond" w:cs="Times New Roman"/>
                <w:sz w:val="20"/>
                <w:szCs w:val="20"/>
                <w:lang w:val="en-AU"/>
              </w:rPr>
            </w:pPr>
            <w:r>
              <w:rPr>
                <w:rFonts w:ascii="Garamond" w:hAnsi="Garamond"/>
                <w:sz w:val="20"/>
                <w:szCs w:val="20"/>
              </w:rPr>
              <w:lastRenderedPageBreak/>
              <w:t>I.</w:t>
            </w:r>
            <w:r w:rsidR="00126B67" w:rsidRPr="005A5FA4">
              <w:rPr>
                <w:rFonts w:ascii="Garamond" w:hAnsi="Garamond"/>
                <w:sz w:val="20"/>
                <w:szCs w:val="20"/>
              </w:rPr>
              <w:t>2.  A coordinated management of macro-economic parameters especially to ensure:</w:t>
            </w:r>
          </w:p>
          <w:p w14:paraId="0434FFC6" w14:textId="77777777" w:rsidR="00126B67" w:rsidRPr="00C36071" w:rsidRDefault="00126B67" w:rsidP="00E74F3E">
            <w:pPr>
              <w:pStyle w:val="ListParagraph"/>
              <w:numPr>
                <w:ilvl w:val="0"/>
                <w:numId w:val="9"/>
              </w:numPr>
              <w:ind w:left="459"/>
              <w:rPr>
                <w:rFonts w:ascii="Garamond" w:eastAsiaTheme="minorEastAsia" w:hAnsi="Garamond"/>
                <w:sz w:val="20"/>
                <w:szCs w:val="20"/>
              </w:rPr>
            </w:pPr>
            <w:r w:rsidRPr="00C36071">
              <w:rPr>
                <w:rFonts w:ascii="Garamond" w:hAnsi="Garamond"/>
                <w:sz w:val="20"/>
                <w:szCs w:val="20"/>
              </w:rPr>
              <w:t>An effective fiscal management.</w:t>
            </w:r>
          </w:p>
          <w:p w14:paraId="004509D4" w14:textId="77777777" w:rsidR="00126B67" w:rsidRPr="00C36071" w:rsidRDefault="00126B67" w:rsidP="00E74F3E">
            <w:pPr>
              <w:pStyle w:val="ListParagraph"/>
              <w:numPr>
                <w:ilvl w:val="0"/>
                <w:numId w:val="9"/>
              </w:numPr>
              <w:ind w:left="459"/>
              <w:rPr>
                <w:rFonts w:ascii="Garamond" w:eastAsiaTheme="minorEastAsia" w:hAnsi="Garamond"/>
                <w:sz w:val="20"/>
                <w:szCs w:val="20"/>
              </w:rPr>
            </w:pPr>
            <w:r w:rsidRPr="00C36071">
              <w:rPr>
                <w:rFonts w:ascii="Garamond" w:hAnsi="Garamond"/>
                <w:sz w:val="20"/>
                <w:szCs w:val="20"/>
              </w:rPr>
              <w:t>Appropriate sectoral budget allocation, especially to MDG off-track areas.</w:t>
            </w:r>
          </w:p>
          <w:p w14:paraId="1B5C6E29" w14:textId="77777777" w:rsidR="00126B67" w:rsidRPr="00DD2B43" w:rsidRDefault="00126B67" w:rsidP="000F69E6">
            <w:pPr>
              <w:rPr>
                <w:rFonts w:ascii="Garamond" w:hAnsi="Garamond"/>
                <w:sz w:val="20"/>
                <w:szCs w:val="20"/>
                <w:lang w:bidi="th-TH"/>
              </w:rPr>
            </w:pPr>
          </w:p>
        </w:tc>
      </w:tr>
      <w:tr w:rsidR="00E74F3E" w:rsidRPr="00DD2B43" w14:paraId="14F0D6FD" w14:textId="77777777" w:rsidTr="005A5FA4">
        <w:tc>
          <w:tcPr>
            <w:tcW w:w="2699" w:type="dxa"/>
            <w:shd w:val="clear" w:color="auto" w:fill="auto"/>
          </w:tcPr>
          <w:p w14:paraId="0AABC314" w14:textId="77777777" w:rsidR="00E74F3E" w:rsidRPr="001175F9" w:rsidRDefault="00E74F3E" w:rsidP="00E74F3E">
            <w:pPr>
              <w:pStyle w:val="ListParagraph"/>
              <w:numPr>
                <w:ilvl w:val="1"/>
                <w:numId w:val="10"/>
              </w:numPr>
              <w:rPr>
                <w:rFonts w:ascii="Garamond" w:hAnsi="Garamond"/>
                <w:bCs/>
                <w:sz w:val="20"/>
                <w:szCs w:val="20"/>
              </w:rPr>
            </w:pPr>
            <w:r w:rsidRPr="001175F9">
              <w:rPr>
                <w:rFonts w:ascii="Garamond" w:hAnsi="Garamond"/>
                <w:bCs/>
                <w:sz w:val="20"/>
                <w:szCs w:val="20"/>
              </w:rPr>
              <w:t xml:space="preserve">Formation of National Steering Committee on Monitoring Macroeconomic Policy. </w:t>
            </w:r>
          </w:p>
          <w:p w14:paraId="7A679C78" w14:textId="77777777" w:rsidR="00E74F3E" w:rsidRDefault="00E74F3E" w:rsidP="00E74F3E">
            <w:pPr>
              <w:rPr>
                <w:rFonts w:ascii="Garamond" w:eastAsiaTheme="minorEastAsia" w:hAnsi="Garamond"/>
                <w:bCs/>
                <w:sz w:val="20"/>
                <w:szCs w:val="20"/>
              </w:rPr>
            </w:pPr>
          </w:p>
          <w:p w14:paraId="73EAAF5C" w14:textId="77777777" w:rsidR="00E74F3E" w:rsidRDefault="00E74F3E" w:rsidP="00E74F3E">
            <w:pPr>
              <w:rPr>
                <w:rFonts w:ascii="Garamond" w:eastAsiaTheme="minorEastAsia" w:hAnsi="Garamond"/>
                <w:bCs/>
                <w:sz w:val="20"/>
                <w:szCs w:val="20"/>
              </w:rPr>
            </w:pPr>
          </w:p>
          <w:p w14:paraId="0D5661B9" w14:textId="77777777" w:rsidR="00E74F3E" w:rsidRDefault="00E74F3E" w:rsidP="00E74F3E">
            <w:pPr>
              <w:rPr>
                <w:rFonts w:ascii="Garamond" w:eastAsiaTheme="minorEastAsia" w:hAnsi="Garamond"/>
                <w:bCs/>
                <w:sz w:val="20"/>
                <w:szCs w:val="20"/>
              </w:rPr>
            </w:pPr>
          </w:p>
          <w:p w14:paraId="45EFAF14" w14:textId="77777777" w:rsidR="00E74F3E" w:rsidRDefault="00E74F3E" w:rsidP="00E74F3E">
            <w:pPr>
              <w:rPr>
                <w:rFonts w:ascii="Garamond" w:eastAsiaTheme="minorEastAsia" w:hAnsi="Garamond"/>
                <w:bCs/>
                <w:sz w:val="20"/>
                <w:szCs w:val="20"/>
              </w:rPr>
            </w:pPr>
          </w:p>
          <w:p w14:paraId="6D1FD29D" w14:textId="77777777" w:rsidR="00E74F3E" w:rsidRPr="001175F9" w:rsidRDefault="00E74F3E" w:rsidP="00E74F3E">
            <w:pPr>
              <w:pStyle w:val="ListParagraph"/>
              <w:numPr>
                <w:ilvl w:val="1"/>
                <w:numId w:val="10"/>
              </w:numPr>
              <w:rPr>
                <w:rFonts w:ascii="Garamond" w:hAnsi="Garamond"/>
                <w:bCs/>
                <w:sz w:val="20"/>
                <w:szCs w:val="20"/>
              </w:rPr>
            </w:pPr>
            <w:r w:rsidRPr="001175F9">
              <w:rPr>
                <w:rFonts w:ascii="Garamond" w:hAnsi="Garamond"/>
                <w:bCs/>
                <w:sz w:val="20"/>
                <w:szCs w:val="20"/>
              </w:rPr>
              <w:t>Improving government and DP macroeconomic policy coordination through consistent meetings of the Macro Economic SWG.</w:t>
            </w:r>
          </w:p>
          <w:p w14:paraId="78DFD222" w14:textId="77777777" w:rsidR="00E74F3E" w:rsidRPr="00DD2B43" w:rsidRDefault="00E74F3E" w:rsidP="000F69E6">
            <w:pPr>
              <w:pStyle w:val="ListParagraph"/>
              <w:ind w:left="360"/>
              <w:rPr>
                <w:rFonts w:ascii="Garamond" w:hAnsi="Garamond"/>
                <w:sz w:val="20"/>
                <w:szCs w:val="20"/>
                <w:lang w:bidi="th-TH"/>
              </w:rPr>
            </w:pPr>
          </w:p>
        </w:tc>
        <w:tc>
          <w:tcPr>
            <w:tcW w:w="3038" w:type="dxa"/>
          </w:tcPr>
          <w:p w14:paraId="39F8B079" w14:textId="77777777" w:rsidR="001D5C62" w:rsidRPr="006F1F23" w:rsidRDefault="001D5C62" w:rsidP="001D5C62">
            <w:pPr>
              <w:pStyle w:val="ListParagraph"/>
              <w:numPr>
                <w:ilvl w:val="1"/>
                <w:numId w:val="13"/>
              </w:numPr>
              <w:rPr>
                <w:rFonts w:ascii="Garamond" w:hAnsi="Garamond"/>
                <w:bCs/>
                <w:sz w:val="20"/>
                <w:szCs w:val="20"/>
              </w:rPr>
            </w:pPr>
            <w:r w:rsidRPr="006F1F23">
              <w:rPr>
                <w:rFonts w:ascii="Garamond" w:hAnsi="Garamond"/>
                <w:bCs/>
                <w:sz w:val="20"/>
                <w:szCs w:val="20"/>
              </w:rPr>
              <w:t>(a) Regular meetings of the Macroeconomic Task Force</w:t>
            </w:r>
          </w:p>
          <w:p w14:paraId="1496F431" w14:textId="77777777" w:rsidR="001D5C62" w:rsidRPr="00020797" w:rsidRDefault="001D5C62" w:rsidP="001D5C62">
            <w:pPr>
              <w:pStyle w:val="ListParagraph"/>
              <w:ind w:left="360"/>
              <w:rPr>
                <w:rFonts w:ascii="Garamond" w:hAnsi="Garamond"/>
                <w:bCs/>
                <w:iCs/>
                <w:sz w:val="20"/>
                <w:szCs w:val="20"/>
              </w:rPr>
            </w:pPr>
          </w:p>
          <w:p w14:paraId="7E22B44B" w14:textId="77777777" w:rsidR="001D5C62" w:rsidRPr="006F1F23" w:rsidRDefault="001D5C62" w:rsidP="001D5C62">
            <w:pPr>
              <w:pStyle w:val="ListParagraph"/>
              <w:ind w:left="360"/>
              <w:rPr>
                <w:rFonts w:ascii="Garamond" w:hAnsi="Garamond"/>
                <w:bCs/>
                <w:sz w:val="20"/>
                <w:szCs w:val="20"/>
              </w:rPr>
            </w:pPr>
            <w:r w:rsidRPr="006F1F23">
              <w:rPr>
                <w:rFonts w:ascii="Garamond" w:hAnsi="Garamond"/>
                <w:bCs/>
                <w:iCs/>
                <w:sz w:val="20"/>
                <w:szCs w:val="20"/>
              </w:rPr>
              <w:t>(b) Adoption of main macroeconomic policies based on consistent macroeconomic framework</w:t>
            </w:r>
          </w:p>
          <w:p w14:paraId="146B9FCE" w14:textId="77777777" w:rsidR="001D5C62" w:rsidRPr="006F1F23" w:rsidRDefault="001D5C62" w:rsidP="001D5C62">
            <w:pPr>
              <w:pStyle w:val="ListParagraph"/>
              <w:ind w:left="318"/>
              <w:rPr>
                <w:rFonts w:ascii="Garamond" w:eastAsiaTheme="minorEastAsia" w:hAnsi="Garamond"/>
                <w:bCs/>
                <w:sz w:val="20"/>
                <w:szCs w:val="20"/>
              </w:rPr>
            </w:pPr>
          </w:p>
          <w:p w14:paraId="7FDE4D5E" w14:textId="77777777" w:rsidR="001D5C62" w:rsidRPr="00020797" w:rsidRDefault="001D5C62" w:rsidP="001D5C62">
            <w:pPr>
              <w:pStyle w:val="ListParagraph"/>
              <w:numPr>
                <w:ilvl w:val="1"/>
                <w:numId w:val="13"/>
              </w:numPr>
              <w:rPr>
                <w:rFonts w:ascii="Garamond" w:hAnsi="Garamond"/>
                <w:bCs/>
                <w:sz w:val="20"/>
                <w:szCs w:val="20"/>
              </w:rPr>
            </w:pPr>
            <w:r w:rsidRPr="006F1F23">
              <w:rPr>
                <w:rFonts w:ascii="Garamond" w:hAnsi="Garamond"/>
                <w:bCs/>
                <w:sz w:val="20"/>
                <w:szCs w:val="20"/>
              </w:rPr>
              <w:t xml:space="preserve">[Quarterly information sharing meetings of the SWG.] </w:t>
            </w:r>
            <w:proofErr w:type="gramStart"/>
            <w:r w:rsidRPr="00020797">
              <w:rPr>
                <w:rFonts w:ascii="Garamond" w:hAnsi="Garamond"/>
                <w:bCs/>
                <w:sz w:val="20"/>
                <w:szCs w:val="20"/>
              </w:rPr>
              <w:t>by</w:t>
            </w:r>
            <w:proofErr w:type="gramEnd"/>
            <w:r w:rsidRPr="00020797">
              <w:rPr>
                <w:rFonts w:ascii="Garamond" w:hAnsi="Garamond"/>
                <w:bCs/>
                <w:sz w:val="20"/>
                <w:szCs w:val="20"/>
              </w:rPr>
              <w:t xml:space="preserve"> updating on Fiscal performance regularly, Monetary performance and action taken to maintain monetary situation. </w:t>
            </w:r>
          </w:p>
          <w:p w14:paraId="3D8D615B" w14:textId="77777777" w:rsidR="00E74F3E" w:rsidRPr="00DD2B43" w:rsidRDefault="00E74F3E" w:rsidP="000F69E6">
            <w:pPr>
              <w:rPr>
                <w:rFonts w:ascii="Garamond" w:hAnsi="Garamond"/>
                <w:sz w:val="20"/>
                <w:szCs w:val="20"/>
              </w:rPr>
            </w:pPr>
          </w:p>
        </w:tc>
        <w:tc>
          <w:tcPr>
            <w:tcW w:w="1276" w:type="dxa"/>
            <w:shd w:val="clear" w:color="auto" w:fill="auto"/>
          </w:tcPr>
          <w:p w14:paraId="73DCB566" w14:textId="77777777" w:rsidR="00E74F3E" w:rsidRPr="00DD2B43" w:rsidRDefault="00E74F3E" w:rsidP="000F69E6">
            <w:pPr>
              <w:rPr>
                <w:rFonts w:ascii="Garamond" w:hAnsi="Garamond"/>
                <w:sz w:val="20"/>
                <w:szCs w:val="20"/>
              </w:rPr>
            </w:pPr>
            <w:r w:rsidRPr="00DD2B43">
              <w:rPr>
                <w:rFonts w:ascii="Garamond" w:hAnsi="Garamond"/>
                <w:sz w:val="20"/>
                <w:szCs w:val="20"/>
              </w:rPr>
              <w:t>MOF, MPI, BOL, MOIC, MEM</w:t>
            </w:r>
          </w:p>
        </w:tc>
        <w:tc>
          <w:tcPr>
            <w:tcW w:w="2324" w:type="dxa"/>
            <w:shd w:val="clear" w:color="auto" w:fill="auto"/>
          </w:tcPr>
          <w:p w14:paraId="752805FC" w14:textId="6DE9C046" w:rsidR="00E74F3E" w:rsidRPr="00DD2B43" w:rsidRDefault="00E74F3E" w:rsidP="000F69E6">
            <w:pPr>
              <w:rPr>
                <w:rFonts w:ascii="Garamond" w:hAnsi="Garamond"/>
                <w:sz w:val="20"/>
                <w:szCs w:val="20"/>
                <w:lang w:bidi="th-TH"/>
              </w:rPr>
            </w:pPr>
            <w:r w:rsidRPr="00DD2B43">
              <w:rPr>
                <w:rFonts w:ascii="Garamond" w:hAnsi="Garamond"/>
                <w:sz w:val="20"/>
                <w:szCs w:val="20"/>
                <w:lang w:bidi="th-TH"/>
              </w:rPr>
              <w:t xml:space="preserve">There are two channels: i) macroeconomic SWG where key recent economic developments are discussed  and ii) macroeconomic framework task force lead by MPI on forming a macroeconomic framework and forecasting. </w:t>
            </w:r>
            <w:r w:rsidR="001D5C62">
              <w:rPr>
                <w:rFonts w:ascii="Garamond" w:hAnsi="Garamond"/>
                <w:sz w:val="20"/>
                <w:szCs w:val="20"/>
                <w:lang w:bidi="th-TH"/>
              </w:rPr>
              <w:t xml:space="preserve">This aims to feed into the NSEDPs and budget planning. Still work in progress. </w:t>
            </w:r>
          </w:p>
        </w:tc>
        <w:tc>
          <w:tcPr>
            <w:tcW w:w="2250" w:type="dxa"/>
            <w:shd w:val="clear" w:color="auto" w:fill="auto"/>
          </w:tcPr>
          <w:p w14:paraId="1B7A7F2C" w14:textId="0C75F31B" w:rsidR="00E74F3E" w:rsidRPr="00DD2B43" w:rsidRDefault="00E74F3E" w:rsidP="005A5FA4">
            <w:pPr>
              <w:rPr>
                <w:rFonts w:ascii="Garamond" w:hAnsi="Garamond"/>
                <w:sz w:val="20"/>
                <w:szCs w:val="20"/>
                <w:lang w:bidi="th-TH"/>
              </w:rPr>
            </w:pPr>
            <w:r w:rsidRPr="00DD2B43">
              <w:rPr>
                <w:rFonts w:ascii="Garamond" w:hAnsi="Garamond"/>
                <w:sz w:val="20"/>
                <w:szCs w:val="20"/>
                <w:lang w:bidi="th-TH"/>
              </w:rPr>
              <w:t>The SWG forum has helped in terms of encouraging sharing of sectoral data</w:t>
            </w:r>
            <w:r w:rsidR="005F5D9B">
              <w:rPr>
                <w:rFonts w:ascii="Garamond" w:hAnsi="Garamond"/>
                <w:sz w:val="20"/>
                <w:szCs w:val="20"/>
                <w:lang w:bidi="th-TH"/>
              </w:rPr>
              <w:t xml:space="preserve"> and discussions of economic issues</w:t>
            </w:r>
            <w:r w:rsidRPr="00DD2B43">
              <w:rPr>
                <w:rFonts w:ascii="Garamond" w:hAnsi="Garamond"/>
                <w:sz w:val="20"/>
                <w:szCs w:val="20"/>
                <w:lang w:bidi="th-TH"/>
              </w:rPr>
              <w:t>. However, there is still room for promoting more interactive discussions</w:t>
            </w:r>
            <w:r w:rsidR="005F5D9B">
              <w:rPr>
                <w:rFonts w:ascii="Garamond" w:hAnsi="Garamond"/>
                <w:sz w:val="20"/>
                <w:szCs w:val="20"/>
                <w:lang w:bidi="th-TH"/>
              </w:rPr>
              <w:t xml:space="preserve"> on critical issues</w:t>
            </w:r>
            <w:r w:rsidRPr="00DD2B43">
              <w:rPr>
                <w:rFonts w:ascii="Garamond" w:hAnsi="Garamond"/>
                <w:sz w:val="20"/>
                <w:szCs w:val="20"/>
                <w:lang w:bidi="th-TH"/>
              </w:rPr>
              <w:t xml:space="preserve"> </w:t>
            </w:r>
            <w:r w:rsidR="005F5D9B">
              <w:rPr>
                <w:rFonts w:ascii="Garamond" w:hAnsi="Garamond"/>
                <w:sz w:val="20"/>
                <w:szCs w:val="20"/>
                <w:lang w:bidi="th-TH"/>
              </w:rPr>
              <w:t xml:space="preserve">and </w:t>
            </w:r>
            <w:r w:rsidR="005F5D9B" w:rsidRPr="00DD2B43">
              <w:rPr>
                <w:rFonts w:ascii="Garamond" w:hAnsi="Garamond"/>
                <w:sz w:val="20"/>
                <w:szCs w:val="20"/>
                <w:lang w:bidi="th-TH"/>
              </w:rPr>
              <w:t>channel</w:t>
            </w:r>
            <w:r w:rsidR="005F5D9B">
              <w:rPr>
                <w:rFonts w:ascii="Garamond" w:hAnsi="Garamond"/>
                <w:sz w:val="20"/>
                <w:szCs w:val="20"/>
                <w:lang w:bidi="th-TH"/>
              </w:rPr>
              <w:t>ing</w:t>
            </w:r>
            <w:r w:rsidRPr="00DD2B43">
              <w:rPr>
                <w:rFonts w:ascii="Garamond" w:hAnsi="Garamond"/>
                <w:sz w:val="20"/>
                <w:szCs w:val="20"/>
                <w:lang w:bidi="th-TH"/>
              </w:rPr>
              <w:t xml:space="preserve"> the agreed set of issues to feed into policy formulation</w:t>
            </w:r>
            <w:r w:rsidR="005F5D9B">
              <w:rPr>
                <w:rFonts w:ascii="Garamond" w:hAnsi="Garamond"/>
                <w:sz w:val="20"/>
                <w:szCs w:val="20"/>
                <w:lang w:bidi="th-TH"/>
              </w:rPr>
              <w:t xml:space="preserve"> process</w:t>
            </w:r>
          </w:p>
        </w:tc>
        <w:tc>
          <w:tcPr>
            <w:tcW w:w="2012" w:type="dxa"/>
            <w:shd w:val="clear" w:color="auto" w:fill="auto"/>
          </w:tcPr>
          <w:p w14:paraId="187D93F1" w14:textId="77777777" w:rsidR="00E74F3E" w:rsidRDefault="00E74F3E" w:rsidP="000F69E6">
            <w:pPr>
              <w:rPr>
                <w:rFonts w:ascii="Garamond" w:hAnsi="Garamond"/>
                <w:sz w:val="20"/>
                <w:szCs w:val="20"/>
                <w:lang w:bidi="th-TH"/>
              </w:rPr>
            </w:pPr>
            <w:r w:rsidRPr="00DD2B43">
              <w:rPr>
                <w:rFonts w:ascii="Garamond" w:hAnsi="Garamond"/>
                <w:sz w:val="20"/>
                <w:szCs w:val="20"/>
                <w:lang w:bidi="th-TH"/>
              </w:rPr>
              <w:t xml:space="preserve">Discuss ways to strengthen the SWG forum as an arena to discuss policy issues and follow up actions, in addition to sharing recent developments. </w:t>
            </w:r>
          </w:p>
          <w:p w14:paraId="456D80BE" w14:textId="7DA661C4" w:rsidR="00CD2FBD" w:rsidRPr="00DD2B43" w:rsidRDefault="00CD2FBD" w:rsidP="000F69E6">
            <w:pPr>
              <w:rPr>
                <w:rFonts w:ascii="Garamond" w:hAnsi="Garamond"/>
                <w:sz w:val="20"/>
                <w:szCs w:val="20"/>
                <w:lang w:bidi="th-TH"/>
              </w:rPr>
            </w:pPr>
            <w:r>
              <w:rPr>
                <w:rFonts w:ascii="Garamond" w:hAnsi="Garamond"/>
                <w:sz w:val="20"/>
                <w:szCs w:val="20"/>
                <w:lang w:bidi="th-TH"/>
              </w:rPr>
              <w:t>Promote more interactions with other SWG</w:t>
            </w:r>
            <w:r w:rsidR="00234180">
              <w:rPr>
                <w:rFonts w:ascii="Garamond" w:hAnsi="Garamond"/>
                <w:sz w:val="20"/>
                <w:szCs w:val="20"/>
                <w:lang w:bidi="th-TH"/>
              </w:rPr>
              <w:t>s</w:t>
            </w:r>
          </w:p>
        </w:tc>
      </w:tr>
      <w:tr w:rsidR="004A4D86" w:rsidRPr="00DD2B43" w14:paraId="141817B6" w14:textId="77777777" w:rsidTr="00C4667C">
        <w:tc>
          <w:tcPr>
            <w:tcW w:w="13599" w:type="dxa"/>
            <w:gridSpan w:val="6"/>
            <w:shd w:val="clear" w:color="auto" w:fill="auto"/>
          </w:tcPr>
          <w:p w14:paraId="7DE66E16" w14:textId="7F7527C8" w:rsidR="004A4D86" w:rsidRPr="00C36071" w:rsidRDefault="004A4D86" w:rsidP="00E74F3E">
            <w:pPr>
              <w:rPr>
                <w:rFonts w:ascii="Garamond" w:hAnsi="Garamond"/>
                <w:sz w:val="20"/>
                <w:szCs w:val="20"/>
              </w:rPr>
            </w:pPr>
            <w:r>
              <w:rPr>
                <w:rFonts w:ascii="Garamond" w:hAnsi="Garamond"/>
                <w:sz w:val="20"/>
                <w:szCs w:val="20"/>
              </w:rPr>
              <w:lastRenderedPageBreak/>
              <w:t>I.</w:t>
            </w:r>
            <w:r w:rsidRPr="00C36071">
              <w:rPr>
                <w:rFonts w:ascii="Garamond" w:hAnsi="Garamond"/>
                <w:sz w:val="20"/>
                <w:szCs w:val="20"/>
              </w:rPr>
              <w:t>3. The 8</w:t>
            </w:r>
            <w:r w:rsidRPr="00C36071">
              <w:rPr>
                <w:rFonts w:ascii="Garamond" w:hAnsi="Garamond"/>
                <w:sz w:val="20"/>
                <w:szCs w:val="20"/>
                <w:vertAlign w:val="superscript"/>
              </w:rPr>
              <w:t>th</w:t>
            </w:r>
            <w:r w:rsidRPr="00C36071">
              <w:rPr>
                <w:rFonts w:ascii="Garamond" w:hAnsi="Garamond"/>
                <w:sz w:val="20"/>
                <w:szCs w:val="20"/>
              </w:rPr>
              <w:t xml:space="preserve"> National Socio-Economic Development Plan (NSEDP 2016-2020) needs a strong link with the fiscal framework and a financial strategy with proper costing. Priorities should include:</w:t>
            </w:r>
          </w:p>
          <w:p w14:paraId="0C1A3071" w14:textId="77777777" w:rsidR="004A4D86" w:rsidRPr="00C36071" w:rsidRDefault="004A4D86" w:rsidP="00E74F3E">
            <w:pPr>
              <w:pStyle w:val="ListParagraph"/>
              <w:numPr>
                <w:ilvl w:val="0"/>
                <w:numId w:val="11"/>
              </w:numPr>
              <w:ind w:left="459"/>
              <w:rPr>
                <w:rFonts w:ascii="Garamond" w:hAnsi="Garamond"/>
                <w:sz w:val="20"/>
                <w:szCs w:val="20"/>
                <w:u w:val="single"/>
              </w:rPr>
            </w:pPr>
            <w:r w:rsidRPr="00C36071">
              <w:rPr>
                <w:rFonts w:ascii="Garamond" w:hAnsi="Garamond"/>
                <w:sz w:val="20"/>
                <w:szCs w:val="20"/>
              </w:rPr>
              <w:t>Ensuring affordability of the 8</w:t>
            </w:r>
            <w:r w:rsidRPr="00C36071">
              <w:rPr>
                <w:rFonts w:ascii="Garamond" w:hAnsi="Garamond"/>
                <w:sz w:val="20"/>
                <w:szCs w:val="20"/>
                <w:vertAlign w:val="superscript"/>
              </w:rPr>
              <w:t>th</w:t>
            </w:r>
            <w:r w:rsidRPr="00C36071">
              <w:rPr>
                <w:rFonts w:ascii="Garamond" w:hAnsi="Garamond"/>
                <w:sz w:val="20"/>
                <w:szCs w:val="20"/>
              </w:rPr>
              <w:t xml:space="preserve"> Plan and financial strategy </w:t>
            </w:r>
          </w:p>
          <w:p w14:paraId="63C108A2" w14:textId="77777777" w:rsidR="004A4D86" w:rsidRPr="00C36071" w:rsidRDefault="004A4D86" w:rsidP="00E74F3E">
            <w:pPr>
              <w:pStyle w:val="ListParagraph"/>
              <w:numPr>
                <w:ilvl w:val="0"/>
                <w:numId w:val="11"/>
              </w:numPr>
              <w:ind w:left="459"/>
              <w:rPr>
                <w:rFonts w:ascii="Garamond" w:hAnsi="Garamond"/>
                <w:sz w:val="20"/>
                <w:szCs w:val="20"/>
                <w:u w:val="single"/>
              </w:rPr>
            </w:pPr>
            <w:r w:rsidRPr="00C36071">
              <w:rPr>
                <w:rFonts w:ascii="Garamond" w:hAnsi="Garamond"/>
                <w:sz w:val="20"/>
                <w:szCs w:val="20"/>
              </w:rPr>
              <w:t xml:space="preserve">Promoting a ‘green growth’ model with sound natural resources management and increased opportunities for all </w:t>
            </w:r>
          </w:p>
          <w:p w14:paraId="0363509C" w14:textId="77777777" w:rsidR="004A4D86" w:rsidRPr="00DD2B43" w:rsidRDefault="004A4D86" w:rsidP="000F69E6">
            <w:pPr>
              <w:rPr>
                <w:rFonts w:ascii="Garamond" w:hAnsi="Garamond"/>
                <w:sz w:val="20"/>
                <w:szCs w:val="20"/>
                <w:lang w:bidi="th-TH"/>
              </w:rPr>
            </w:pPr>
          </w:p>
        </w:tc>
      </w:tr>
      <w:tr w:rsidR="00E74F3E" w:rsidRPr="00DD2B43" w14:paraId="76BF750C" w14:textId="77777777" w:rsidTr="005A5FA4">
        <w:tc>
          <w:tcPr>
            <w:tcW w:w="2699" w:type="dxa"/>
          </w:tcPr>
          <w:p w14:paraId="7B526CF1" w14:textId="77777777" w:rsidR="00E74F3E" w:rsidRPr="001175F9" w:rsidRDefault="00E74F3E" w:rsidP="00E74F3E">
            <w:pPr>
              <w:pStyle w:val="ListParagraph"/>
              <w:numPr>
                <w:ilvl w:val="1"/>
                <w:numId w:val="7"/>
              </w:numPr>
              <w:rPr>
                <w:rFonts w:ascii="Garamond" w:hAnsi="Garamond"/>
                <w:bCs/>
                <w:sz w:val="20"/>
                <w:szCs w:val="20"/>
              </w:rPr>
            </w:pPr>
            <w:r w:rsidRPr="001175F9">
              <w:rPr>
                <w:rFonts w:ascii="Garamond" w:hAnsi="Garamond"/>
                <w:bCs/>
                <w:sz w:val="20"/>
                <w:szCs w:val="20"/>
              </w:rPr>
              <w:t>Development of a new MTEF (including PIPs) linked to NSEDP</w:t>
            </w:r>
          </w:p>
          <w:p w14:paraId="242A52DD" w14:textId="77777777" w:rsidR="00E74F3E" w:rsidRPr="00C36071" w:rsidRDefault="00E74F3E" w:rsidP="00E74F3E">
            <w:pPr>
              <w:pStyle w:val="ListParagraph"/>
              <w:ind w:left="371"/>
              <w:rPr>
                <w:rFonts w:ascii="Garamond" w:eastAsiaTheme="minorEastAsia" w:hAnsi="Garamond"/>
                <w:bCs/>
                <w:sz w:val="20"/>
                <w:szCs w:val="20"/>
              </w:rPr>
            </w:pPr>
          </w:p>
          <w:p w14:paraId="06B99EC3" w14:textId="77777777" w:rsidR="00E74F3E" w:rsidRPr="00707B0F" w:rsidRDefault="00E74F3E" w:rsidP="00E74F3E">
            <w:pPr>
              <w:pStyle w:val="ListParagraph"/>
              <w:numPr>
                <w:ilvl w:val="1"/>
                <w:numId w:val="7"/>
              </w:numPr>
              <w:rPr>
                <w:rFonts w:ascii="Garamond" w:hAnsi="Garamond"/>
                <w:bCs/>
                <w:sz w:val="20"/>
                <w:szCs w:val="20"/>
              </w:rPr>
            </w:pPr>
            <w:r w:rsidRPr="001175F9">
              <w:rPr>
                <w:rFonts w:ascii="Garamond" w:hAnsi="Garamond"/>
                <w:bCs/>
                <w:sz w:val="20"/>
                <w:szCs w:val="20"/>
              </w:rPr>
              <w:t>Launch of a system for communicating how DP comments on 8</w:t>
            </w:r>
            <w:r w:rsidRPr="001175F9">
              <w:rPr>
                <w:rFonts w:ascii="Garamond" w:hAnsi="Garamond"/>
                <w:bCs/>
                <w:sz w:val="20"/>
                <w:szCs w:val="20"/>
                <w:vertAlign w:val="superscript"/>
              </w:rPr>
              <w:t>th</w:t>
            </w:r>
            <w:r w:rsidRPr="001175F9">
              <w:rPr>
                <w:rFonts w:ascii="Garamond" w:hAnsi="Garamond"/>
                <w:bCs/>
                <w:sz w:val="20"/>
                <w:szCs w:val="20"/>
              </w:rPr>
              <w:t xml:space="preserve"> NSEDP have been integrated. </w:t>
            </w:r>
          </w:p>
          <w:p w14:paraId="1A0C5457" w14:textId="77777777" w:rsidR="00E74F3E" w:rsidRDefault="00E74F3E" w:rsidP="00E74F3E">
            <w:pPr>
              <w:pStyle w:val="ListParagraph"/>
              <w:rPr>
                <w:rFonts w:ascii="Garamond" w:hAnsi="Garamond"/>
                <w:bCs/>
                <w:sz w:val="20"/>
                <w:szCs w:val="20"/>
              </w:rPr>
            </w:pPr>
          </w:p>
          <w:p w14:paraId="660C5B9B" w14:textId="77777777" w:rsidR="00E74F3E" w:rsidRDefault="00E74F3E" w:rsidP="00E74F3E">
            <w:pPr>
              <w:pStyle w:val="ListParagraph"/>
              <w:rPr>
                <w:rFonts w:ascii="Garamond" w:hAnsi="Garamond"/>
                <w:bCs/>
                <w:sz w:val="20"/>
                <w:szCs w:val="20"/>
              </w:rPr>
            </w:pPr>
          </w:p>
          <w:p w14:paraId="03232686" w14:textId="77777777" w:rsidR="00E74F3E" w:rsidRDefault="00E74F3E" w:rsidP="00E74F3E">
            <w:pPr>
              <w:pStyle w:val="ListParagraph"/>
              <w:rPr>
                <w:rFonts w:ascii="Garamond" w:hAnsi="Garamond"/>
                <w:bCs/>
                <w:sz w:val="20"/>
                <w:szCs w:val="20"/>
              </w:rPr>
            </w:pPr>
          </w:p>
          <w:p w14:paraId="768994A7" w14:textId="77777777" w:rsidR="00E74F3E" w:rsidRDefault="00E74F3E" w:rsidP="00E74F3E">
            <w:pPr>
              <w:pStyle w:val="ListParagraph"/>
              <w:rPr>
                <w:rFonts w:ascii="Garamond" w:hAnsi="Garamond"/>
                <w:bCs/>
                <w:sz w:val="20"/>
                <w:szCs w:val="20"/>
              </w:rPr>
            </w:pPr>
          </w:p>
          <w:p w14:paraId="1718D0CB" w14:textId="77777777" w:rsidR="00E74F3E" w:rsidRDefault="00E74F3E" w:rsidP="00E74F3E">
            <w:pPr>
              <w:pStyle w:val="ListParagraph"/>
              <w:rPr>
                <w:rFonts w:ascii="Garamond" w:hAnsi="Garamond"/>
                <w:bCs/>
                <w:sz w:val="20"/>
                <w:szCs w:val="20"/>
              </w:rPr>
            </w:pPr>
          </w:p>
          <w:p w14:paraId="2E0ECB8C" w14:textId="77777777" w:rsidR="00E74F3E" w:rsidRDefault="00E74F3E" w:rsidP="00E74F3E">
            <w:pPr>
              <w:pStyle w:val="ListParagraph"/>
              <w:rPr>
                <w:rFonts w:ascii="Garamond" w:hAnsi="Garamond"/>
                <w:bCs/>
                <w:sz w:val="20"/>
                <w:szCs w:val="20"/>
              </w:rPr>
            </w:pPr>
          </w:p>
          <w:p w14:paraId="08A37E7F" w14:textId="77777777" w:rsidR="00E74F3E" w:rsidRDefault="00E74F3E" w:rsidP="00E74F3E">
            <w:pPr>
              <w:pStyle w:val="ListParagraph"/>
              <w:rPr>
                <w:rFonts w:ascii="Garamond" w:hAnsi="Garamond"/>
                <w:bCs/>
                <w:sz w:val="20"/>
                <w:szCs w:val="20"/>
              </w:rPr>
            </w:pPr>
          </w:p>
          <w:p w14:paraId="0338904D" w14:textId="77777777" w:rsidR="00E74F3E" w:rsidRDefault="00E74F3E" w:rsidP="00E74F3E">
            <w:pPr>
              <w:pStyle w:val="ListParagraph"/>
              <w:rPr>
                <w:rFonts w:ascii="Garamond" w:hAnsi="Garamond"/>
                <w:bCs/>
                <w:sz w:val="20"/>
                <w:szCs w:val="20"/>
              </w:rPr>
            </w:pPr>
          </w:p>
          <w:p w14:paraId="2C049C5C" w14:textId="77777777" w:rsidR="00E74F3E" w:rsidRDefault="00E74F3E" w:rsidP="00E74F3E">
            <w:pPr>
              <w:pStyle w:val="ListParagraph"/>
              <w:rPr>
                <w:rFonts w:ascii="Garamond" w:hAnsi="Garamond"/>
                <w:bCs/>
                <w:sz w:val="20"/>
                <w:szCs w:val="20"/>
              </w:rPr>
            </w:pPr>
          </w:p>
          <w:p w14:paraId="47EF4CB7" w14:textId="77777777" w:rsidR="00E74F3E" w:rsidRDefault="00E74F3E" w:rsidP="00E74F3E">
            <w:pPr>
              <w:pStyle w:val="ListParagraph"/>
              <w:rPr>
                <w:rFonts w:ascii="Garamond" w:hAnsi="Garamond"/>
                <w:bCs/>
                <w:sz w:val="20"/>
                <w:szCs w:val="20"/>
              </w:rPr>
            </w:pPr>
          </w:p>
          <w:p w14:paraId="425EEA69" w14:textId="77777777" w:rsidR="00E74F3E" w:rsidRDefault="00E74F3E" w:rsidP="00E74F3E">
            <w:pPr>
              <w:pStyle w:val="ListParagraph"/>
              <w:rPr>
                <w:rFonts w:ascii="Garamond" w:hAnsi="Garamond"/>
                <w:bCs/>
                <w:sz w:val="20"/>
                <w:szCs w:val="20"/>
              </w:rPr>
            </w:pPr>
          </w:p>
          <w:p w14:paraId="4E53A77E" w14:textId="77777777" w:rsidR="00E74F3E" w:rsidRDefault="00E74F3E" w:rsidP="00E74F3E">
            <w:pPr>
              <w:pStyle w:val="ListParagraph"/>
              <w:rPr>
                <w:rFonts w:ascii="Garamond" w:hAnsi="Garamond"/>
                <w:bCs/>
                <w:sz w:val="20"/>
                <w:szCs w:val="20"/>
              </w:rPr>
            </w:pPr>
          </w:p>
          <w:p w14:paraId="7A4D7572" w14:textId="77777777" w:rsidR="00E74F3E" w:rsidRDefault="00E74F3E" w:rsidP="00E74F3E">
            <w:pPr>
              <w:pStyle w:val="ListParagraph"/>
              <w:rPr>
                <w:rFonts w:ascii="Garamond" w:hAnsi="Garamond"/>
                <w:bCs/>
                <w:sz w:val="20"/>
                <w:szCs w:val="20"/>
              </w:rPr>
            </w:pPr>
          </w:p>
          <w:p w14:paraId="089F8D1B" w14:textId="77777777" w:rsidR="00E74F3E" w:rsidRDefault="00E74F3E" w:rsidP="00E74F3E">
            <w:pPr>
              <w:pStyle w:val="ListParagraph"/>
              <w:rPr>
                <w:rFonts w:ascii="Garamond" w:hAnsi="Garamond"/>
                <w:bCs/>
                <w:sz w:val="20"/>
                <w:szCs w:val="20"/>
              </w:rPr>
            </w:pPr>
          </w:p>
          <w:p w14:paraId="6BF4ED7E" w14:textId="77777777" w:rsidR="00E74F3E" w:rsidRDefault="00E74F3E" w:rsidP="00E74F3E">
            <w:pPr>
              <w:pStyle w:val="ListParagraph"/>
              <w:rPr>
                <w:rFonts w:ascii="Garamond" w:hAnsi="Garamond"/>
                <w:bCs/>
                <w:sz w:val="20"/>
                <w:szCs w:val="20"/>
              </w:rPr>
            </w:pPr>
          </w:p>
          <w:p w14:paraId="2E47ECD1" w14:textId="77777777" w:rsidR="00E74F3E" w:rsidRDefault="00E74F3E" w:rsidP="00E74F3E">
            <w:pPr>
              <w:pStyle w:val="ListParagraph"/>
              <w:rPr>
                <w:rFonts w:ascii="Garamond" w:hAnsi="Garamond"/>
                <w:bCs/>
                <w:sz w:val="20"/>
                <w:szCs w:val="20"/>
              </w:rPr>
            </w:pPr>
          </w:p>
          <w:p w14:paraId="1854D316" w14:textId="77777777" w:rsidR="00E74F3E" w:rsidRDefault="00E74F3E" w:rsidP="00E74F3E">
            <w:pPr>
              <w:pStyle w:val="ListParagraph"/>
              <w:rPr>
                <w:rFonts w:ascii="Garamond" w:hAnsi="Garamond"/>
                <w:bCs/>
                <w:sz w:val="20"/>
                <w:szCs w:val="20"/>
              </w:rPr>
            </w:pPr>
          </w:p>
          <w:p w14:paraId="0932BF93" w14:textId="77777777" w:rsidR="00E74F3E" w:rsidRPr="00707B0F" w:rsidRDefault="00E74F3E" w:rsidP="00E74F3E">
            <w:pPr>
              <w:pStyle w:val="ListParagraph"/>
              <w:rPr>
                <w:rFonts w:ascii="Garamond" w:hAnsi="Garamond"/>
                <w:bCs/>
                <w:sz w:val="20"/>
                <w:szCs w:val="20"/>
              </w:rPr>
            </w:pPr>
          </w:p>
          <w:p w14:paraId="7AEC0FF0" w14:textId="77777777" w:rsidR="00E74F3E" w:rsidRDefault="00E74F3E" w:rsidP="00E74F3E">
            <w:pPr>
              <w:rPr>
                <w:rFonts w:ascii="Garamond" w:hAnsi="Garamond"/>
                <w:bCs/>
                <w:sz w:val="20"/>
                <w:szCs w:val="20"/>
              </w:rPr>
            </w:pPr>
          </w:p>
          <w:p w14:paraId="4D2C6A77" w14:textId="77777777" w:rsidR="00E74F3E" w:rsidRDefault="00E74F3E" w:rsidP="00E74F3E">
            <w:pPr>
              <w:rPr>
                <w:rFonts w:ascii="Garamond" w:hAnsi="Garamond"/>
                <w:bCs/>
                <w:sz w:val="20"/>
                <w:szCs w:val="20"/>
              </w:rPr>
            </w:pPr>
          </w:p>
          <w:p w14:paraId="3BFD2FDF" w14:textId="77777777" w:rsidR="00E74F3E" w:rsidRDefault="00E74F3E" w:rsidP="00E74F3E">
            <w:pPr>
              <w:rPr>
                <w:rFonts w:ascii="Garamond" w:hAnsi="Garamond"/>
                <w:bCs/>
                <w:sz w:val="20"/>
                <w:szCs w:val="20"/>
              </w:rPr>
            </w:pPr>
          </w:p>
          <w:p w14:paraId="3EE635EB" w14:textId="77777777" w:rsidR="00E74F3E" w:rsidRPr="001175F9" w:rsidRDefault="00E74F3E" w:rsidP="00E74F3E">
            <w:pPr>
              <w:pStyle w:val="ListParagraph"/>
              <w:numPr>
                <w:ilvl w:val="1"/>
                <w:numId w:val="7"/>
              </w:numPr>
              <w:rPr>
                <w:rFonts w:ascii="Garamond" w:hAnsi="Garamond"/>
                <w:bCs/>
                <w:sz w:val="20"/>
                <w:szCs w:val="20"/>
              </w:rPr>
            </w:pPr>
            <w:r w:rsidRPr="001175F9">
              <w:rPr>
                <w:rFonts w:ascii="Garamond" w:hAnsi="Garamond"/>
                <w:bCs/>
                <w:sz w:val="20"/>
                <w:szCs w:val="20"/>
              </w:rPr>
              <w:lastRenderedPageBreak/>
              <w:t>Development of a concept/plan for how green growth model can be incorporated into 8</w:t>
            </w:r>
            <w:r w:rsidRPr="001175F9">
              <w:rPr>
                <w:rFonts w:ascii="Garamond" w:hAnsi="Garamond"/>
                <w:bCs/>
                <w:sz w:val="20"/>
                <w:szCs w:val="20"/>
                <w:vertAlign w:val="superscript"/>
              </w:rPr>
              <w:t>th</w:t>
            </w:r>
            <w:r w:rsidRPr="001175F9">
              <w:rPr>
                <w:rFonts w:ascii="Garamond" w:hAnsi="Garamond"/>
                <w:bCs/>
                <w:sz w:val="20"/>
                <w:szCs w:val="20"/>
              </w:rPr>
              <w:t xml:space="preserve"> NSEDP.</w:t>
            </w:r>
          </w:p>
          <w:p w14:paraId="20AF5E33" w14:textId="77777777" w:rsidR="00E74F3E" w:rsidRPr="00DD2B43" w:rsidRDefault="00E74F3E" w:rsidP="000F69E6">
            <w:pPr>
              <w:rPr>
                <w:rFonts w:ascii="Garamond" w:hAnsi="Garamond"/>
                <w:sz w:val="20"/>
                <w:szCs w:val="20"/>
              </w:rPr>
            </w:pPr>
          </w:p>
        </w:tc>
        <w:tc>
          <w:tcPr>
            <w:tcW w:w="3038" w:type="dxa"/>
          </w:tcPr>
          <w:p w14:paraId="36775791" w14:textId="77777777" w:rsidR="00020977" w:rsidRPr="006F1F23" w:rsidRDefault="00020977" w:rsidP="0008784E">
            <w:pPr>
              <w:pStyle w:val="ListParagraph"/>
              <w:numPr>
                <w:ilvl w:val="1"/>
                <w:numId w:val="14"/>
              </w:numPr>
              <w:ind w:left="140" w:hanging="180"/>
              <w:rPr>
                <w:rFonts w:ascii="Garamond" w:hAnsi="Garamond"/>
                <w:bCs/>
                <w:sz w:val="20"/>
                <w:szCs w:val="20"/>
              </w:rPr>
            </w:pPr>
            <w:r w:rsidRPr="006F1F23">
              <w:rPr>
                <w:rFonts w:ascii="Garamond" w:hAnsi="Garamond"/>
                <w:bCs/>
                <w:sz w:val="20"/>
                <w:szCs w:val="20"/>
              </w:rPr>
              <w:lastRenderedPageBreak/>
              <w:t>Presentation of new MTEF</w:t>
            </w:r>
          </w:p>
          <w:p w14:paraId="1B671C7C" w14:textId="77777777" w:rsidR="00020977" w:rsidRDefault="00020977" w:rsidP="00020977">
            <w:pPr>
              <w:pStyle w:val="ListParagraph"/>
              <w:ind w:left="360"/>
              <w:rPr>
                <w:rFonts w:ascii="Garamond" w:hAnsi="Garamond"/>
                <w:bCs/>
                <w:sz w:val="20"/>
                <w:szCs w:val="20"/>
              </w:rPr>
            </w:pPr>
          </w:p>
          <w:p w14:paraId="3AA90394" w14:textId="77777777" w:rsidR="00134FB9" w:rsidRDefault="00134FB9" w:rsidP="00020977">
            <w:pPr>
              <w:pStyle w:val="ListParagraph"/>
              <w:ind w:left="360"/>
              <w:rPr>
                <w:rFonts w:ascii="Garamond" w:hAnsi="Garamond"/>
                <w:bCs/>
                <w:sz w:val="20"/>
                <w:szCs w:val="20"/>
              </w:rPr>
            </w:pPr>
          </w:p>
          <w:p w14:paraId="00FB176A" w14:textId="77777777" w:rsidR="00134FB9" w:rsidRDefault="00134FB9" w:rsidP="00020977">
            <w:pPr>
              <w:pStyle w:val="ListParagraph"/>
              <w:ind w:left="360"/>
              <w:rPr>
                <w:rFonts w:ascii="Garamond" w:hAnsi="Garamond"/>
                <w:bCs/>
                <w:sz w:val="20"/>
                <w:szCs w:val="20"/>
              </w:rPr>
            </w:pPr>
          </w:p>
          <w:p w14:paraId="5DBC8D79" w14:textId="77777777" w:rsidR="00020977" w:rsidRPr="006F1F23" w:rsidRDefault="00020977" w:rsidP="0008784E">
            <w:pPr>
              <w:pStyle w:val="ListParagraph"/>
              <w:numPr>
                <w:ilvl w:val="1"/>
                <w:numId w:val="14"/>
              </w:numPr>
              <w:ind w:left="140" w:hanging="180"/>
              <w:rPr>
                <w:rFonts w:ascii="Garamond" w:hAnsi="Garamond"/>
                <w:bCs/>
                <w:sz w:val="20"/>
                <w:szCs w:val="20"/>
              </w:rPr>
            </w:pPr>
            <w:r w:rsidRPr="006F1F23">
              <w:rPr>
                <w:rFonts w:ascii="Garamond" w:hAnsi="Garamond"/>
                <w:bCs/>
                <w:sz w:val="20"/>
                <w:szCs w:val="20"/>
              </w:rPr>
              <w:t>Seminars held with DPs to discuss the 8</w:t>
            </w:r>
            <w:r w:rsidRPr="006F1F23">
              <w:rPr>
                <w:rFonts w:ascii="Garamond" w:hAnsi="Garamond"/>
                <w:bCs/>
                <w:sz w:val="20"/>
                <w:szCs w:val="20"/>
                <w:vertAlign w:val="superscript"/>
              </w:rPr>
              <w:t>th</w:t>
            </w:r>
            <w:r w:rsidRPr="006F1F23">
              <w:rPr>
                <w:rFonts w:ascii="Garamond" w:hAnsi="Garamond"/>
                <w:bCs/>
                <w:sz w:val="20"/>
                <w:szCs w:val="20"/>
              </w:rPr>
              <w:t xml:space="preserve"> NSEDP</w:t>
            </w:r>
          </w:p>
          <w:p w14:paraId="258C3F4A" w14:textId="77777777" w:rsidR="00020977" w:rsidRPr="00020797" w:rsidRDefault="00020977" w:rsidP="00020977">
            <w:pPr>
              <w:pStyle w:val="ListParagraph"/>
              <w:rPr>
                <w:rFonts w:ascii="Garamond" w:hAnsi="Garamond"/>
                <w:bCs/>
                <w:sz w:val="20"/>
                <w:szCs w:val="20"/>
              </w:rPr>
            </w:pPr>
          </w:p>
          <w:p w14:paraId="1064B5AE" w14:textId="77777777" w:rsidR="00020977" w:rsidRDefault="00020977" w:rsidP="0008784E">
            <w:pPr>
              <w:pStyle w:val="ListParagraph"/>
              <w:numPr>
                <w:ilvl w:val="0"/>
                <w:numId w:val="14"/>
              </w:numPr>
              <w:ind w:left="140" w:hanging="140"/>
              <w:rPr>
                <w:rFonts w:ascii="Garamond" w:hAnsi="Garamond"/>
                <w:bCs/>
                <w:sz w:val="20"/>
                <w:szCs w:val="20"/>
              </w:rPr>
            </w:pPr>
            <w:r w:rsidRPr="00020797">
              <w:rPr>
                <w:rFonts w:ascii="Garamond" w:hAnsi="Garamond"/>
                <w:bCs/>
                <w:sz w:val="20"/>
                <w:szCs w:val="20"/>
              </w:rPr>
              <w:t xml:space="preserve">Presentation on Budget financing plan in NSEDP VIII as: total investment (5 years) about 27 billion US, or about 30% of GDP, in which: domestic budget 11-12%, ODA 12-16%, Domestic and foreign investment 54-58% and financial system 19-21% of total investment. </w:t>
            </w:r>
          </w:p>
          <w:p w14:paraId="029A85BE" w14:textId="77777777" w:rsidR="00020977" w:rsidRPr="00020797" w:rsidRDefault="00020977" w:rsidP="00020977">
            <w:pPr>
              <w:pStyle w:val="ListParagraph"/>
              <w:ind w:left="134"/>
              <w:rPr>
                <w:rFonts w:ascii="Garamond" w:hAnsi="Garamond"/>
                <w:bCs/>
                <w:sz w:val="20"/>
                <w:szCs w:val="20"/>
              </w:rPr>
            </w:pPr>
          </w:p>
          <w:p w14:paraId="7D097FF8" w14:textId="371E0138" w:rsidR="00020977" w:rsidRPr="00723978" w:rsidRDefault="00EE3C2D" w:rsidP="0008784E">
            <w:pPr>
              <w:pStyle w:val="ListParagraph"/>
              <w:numPr>
                <w:ilvl w:val="0"/>
                <w:numId w:val="14"/>
              </w:numPr>
              <w:ind w:left="140" w:hanging="140"/>
              <w:rPr>
                <w:rFonts w:ascii="Garamond" w:hAnsi="Garamond"/>
                <w:bCs/>
                <w:sz w:val="20"/>
                <w:szCs w:val="20"/>
              </w:rPr>
            </w:pPr>
            <w:r w:rsidRPr="0008784E">
              <w:rPr>
                <w:rFonts w:ascii="Garamond" w:hAnsi="Garamond"/>
                <w:bCs/>
                <w:sz w:val="20"/>
                <w:szCs w:val="20"/>
              </w:rPr>
              <w:t xml:space="preserve">Total revenue in 5 years period in range 23-25% of GDP in which, domestic revenue 20-22% of GDP, expenditure less than 28% and budget deficit less than 5% of GDP </w:t>
            </w:r>
          </w:p>
          <w:p w14:paraId="707F44E7" w14:textId="77777777" w:rsidR="00020977" w:rsidRPr="00020797" w:rsidRDefault="00020977" w:rsidP="0008784E">
            <w:pPr>
              <w:pStyle w:val="ListParagraph"/>
              <w:numPr>
                <w:ilvl w:val="0"/>
                <w:numId w:val="14"/>
              </w:numPr>
              <w:ind w:left="140" w:hanging="140"/>
              <w:rPr>
                <w:rFonts w:ascii="Garamond" w:hAnsi="Garamond"/>
                <w:bCs/>
                <w:sz w:val="20"/>
                <w:szCs w:val="20"/>
              </w:rPr>
            </w:pPr>
            <w:r w:rsidRPr="00020797">
              <w:rPr>
                <w:rFonts w:ascii="Garamond" w:hAnsi="Garamond"/>
                <w:bCs/>
                <w:sz w:val="20"/>
                <w:szCs w:val="20"/>
              </w:rPr>
              <w:t>Inflation less than 6% yearly</w:t>
            </w:r>
          </w:p>
          <w:p w14:paraId="5D8353C4" w14:textId="113CAC17" w:rsidR="00020977" w:rsidRPr="00020797" w:rsidRDefault="00020977" w:rsidP="0008784E">
            <w:pPr>
              <w:pStyle w:val="ListParagraph"/>
              <w:numPr>
                <w:ilvl w:val="0"/>
                <w:numId w:val="14"/>
              </w:numPr>
              <w:ind w:left="140" w:hanging="140"/>
              <w:rPr>
                <w:rFonts w:ascii="Garamond" w:hAnsi="Garamond"/>
                <w:bCs/>
                <w:sz w:val="20"/>
                <w:szCs w:val="20"/>
              </w:rPr>
            </w:pPr>
            <w:r w:rsidRPr="00020797">
              <w:rPr>
                <w:rFonts w:ascii="Garamond" w:hAnsi="Garamond"/>
                <w:bCs/>
                <w:sz w:val="20"/>
                <w:szCs w:val="20"/>
              </w:rPr>
              <w:t xml:space="preserve">Maintain exchange rate </w:t>
            </w:r>
            <w:r w:rsidR="00EE3C2D">
              <w:rPr>
                <w:rFonts w:ascii="Garamond" w:hAnsi="Garamond"/>
                <w:bCs/>
                <w:sz w:val="20"/>
                <w:szCs w:val="20"/>
              </w:rPr>
              <w:t xml:space="preserve">in a </w:t>
            </w:r>
            <w:r w:rsidRPr="00020797">
              <w:rPr>
                <w:rFonts w:ascii="Garamond" w:hAnsi="Garamond"/>
                <w:bCs/>
                <w:sz w:val="20"/>
                <w:szCs w:val="20"/>
              </w:rPr>
              <w:t xml:space="preserve">sustainable manner </w:t>
            </w:r>
          </w:p>
          <w:p w14:paraId="33095E2A" w14:textId="77777777" w:rsidR="00E74F3E" w:rsidRDefault="00E74F3E" w:rsidP="000F69E6">
            <w:pPr>
              <w:rPr>
                <w:rFonts w:ascii="Garamond" w:hAnsi="Garamond"/>
                <w:sz w:val="20"/>
                <w:szCs w:val="20"/>
              </w:rPr>
            </w:pPr>
          </w:p>
          <w:p w14:paraId="096E4B1A" w14:textId="77777777" w:rsidR="00F97E89" w:rsidRDefault="00F97E89" w:rsidP="000F69E6">
            <w:pPr>
              <w:rPr>
                <w:rFonts w:ascii="Garamond" w:hAnsi="Garamond"/>
                <w:sz w:val="20"/>
                <w:szCs w:val="20"/>
              </w:rPr>
            </w:pPr>
          </w:p>
          <w:p w14:paraId="6743CFC0" w14:textId="77777777" w:rsidR="00F97E89" w:rsidRDefault="00F97E89" w:rsidP="000F69E6">
            <w:pPr>
              <w:rPr>
                <w:rFonts w:ascii="Garamond" w:hAnsi="Garamond"/>
                <w:sz w:val="20"/>
                <w:szCs w:val="20"/>
              </w:rPr>
            </w:pPr>
          </w:p>
          <w:p w14:paraId="6BB66827" w14:textId="7BF01550" w:rsidR="001409EF" w:rsidRPr="0008784E" w:rsidRDefault="001409EF" w:rsidP="0008784E">
            <w:pPr>
              <w:pStyle w:val="ListParagraph"/>
              <w:numPr>
                <w:ilvl w:val="0"/>
                <w:numId w:val="14"/>
              </w:numPr>
              <w:ind w:left="140" w:hanging="140"/>
              <w:rPr>
                <w:rFonts w:ascii="Garamond" w:hAnsi="Garamond"/>
                <w:bCs/>
                <w:sz w:val="20"/>
                <w:szCs w:val="20"/>
              </w:rPr>
            </w:pPr>
            <w:r w:rsidRPr="0008784E">
              <w:rPr>
                <w:rFonts w:ascii="Garamond" w:hAnsi="Garamond"/>
                <w:bCs/>
                <w:sz w:val="20"/>
                <w:szCs w:val="20"/>
              </w:rPr>
              <w:lastRenderedPageBreak/>
              <w:t>3.3 (a) A seminar on green growth initiative is held</w:t>
            </w:r>
          </w:p>
          <w:p w14:paraId="4FC683E6" w14:textId="2679FCCB" w:rsidR="001409EF" w:rsidRDefault="001409EF" w:rsidP="0008784E">
            <w:pPr>
              <w:pStyle w:val="ListParagraph"/>
              <w:ind w:left="140"/>
              <w:rPr>
                <w:rFonts w:ascii="Garamond" w:hAnsi="Garamond"/>
                <w:bCs/>
                <w:sz w:val="20"/>
                <w:szCs w:val="20"/>
              </w:rPr>
            </w:pPr>
            <w:r w:rsidRPr="0008784E">
              <w:rPr>
                <w:rFonts w:ascii="Garamond" w:hAnsi="Garamond"/>
                <w:bCs/>
                <w:sz w:val="20"/>
                <w:szCs w:val="20"/>
              </w:rPr>
              <w:t xml:space="preserve">(b) Int’l study visit tour on GG </w:t>
            </w:r>
          </w:p>
          <w:p w14:paraId="132B8C0C" w14:textId="77777777" w:rsidR="00EC6A10" w:rsidRPr="0008784E" w:rsidRDefault="00EC6A10" w:rsidP="0008784E">
            <w:pPr>
              <w:pStyle w:val="ListParagraph"/>
              <w:ind w:left="140"/>
              <w:rPr>
                <w:rFonts w:ascii="Garamond" w:hAnsi="Garamond"/>
                <w:bCs/>
                <w:sz w:val="20"/>
                <w:szCs w:val="20"/>
              </w:rPr>
            </w:pPr>
          </w:p>
          <w:p w14:paraId="193BEF08" w14:textId="59AB5CCE" w:rsidR="00F97E89" w:rsidRPr="0008784E" w:rsidRDefault="001409EF" w:rsidP="0008784E">
            <w:pPr>
              <w:pStyle w:val="ListParagraph"/>
              <w:ind w:left="140"/>
              <w:rPr>
                <w:rFonts w:ascii="Garamond" w:hAnsi="Garamond"/>
                <w:bCs/>
                <w:sz w:val="20"/>
                <w:szCs w:val="20"/>
              </w:rPr>
            </w:pPr>
            <w:r w:rsidRPr="0008784E">
              <w:rPr>
                <w:rFonts w:ascii="Garamond" w:hAnsi="Garamond"/>
                <w:bCs/>
                <w:sz w:val="20"/>
                <w:szCs w:val="20"/>
              </w:rPr>
              <w:t>(c) National GG strategy will be developed in next year</w:t>
            </w:r>
          </w:p>
          <w:p w14:paraId="02BD9E9A" w14:textId="77777777" w:rsidR="00F97E89" w:rsidRPr="00DD2B43" w:rsidRDefault="00F97E89" w:rsidP="000F69E6">
            <w:pPr>
              <w:rPr>
                <w:rFonts w:ascii="Garamond" w:hAnsi="Garamond"/>
                <w:sz w:val="20"/>
                <w:szCs w:val="20"/>
              </w:rPr>
            </w:pPr>
          </w:p>
        </w:tc>
        <w:tc>
          <w:tcPr>
            <w:tcW w:w="1276" w:type="dxa"/>
          </w:tcPr>
          <w:p w14:paraId="02D54E13" w14:textId="77777777" w:rsidR="00E74F3E" w:rsidRDefault="00E74F3E" w:rsidP="000F69E6">
            <w:pPr>
              <w:rPr>
                <w:rFonts w:ascii="Garamond" w:hAnsi="Garamond"/>
                <w:sz w:val="20"/>
                <w:szCs w:val="20"/>
              </w:rPr>
            </w:pPr>
            <w:r w:rsidRPr="00DD2B43">
              <w:rPr>
                <w:rFonts w:ascii="Garamond" w:hAnsi="Garamond"/>
                <w:sz w:val="20"/>
                <w:szCs w:val="20"/>
              </w:rPr>
              <w:lastRenderedPageBreak/>
              <w:t>MOF</w:t>
            </w:r>
          </w:p>
          <w:p w14:paraId="4C20E4A0" w14:textId="77777777" w:rsidR="00134FB9" w:rsidRDefault="00134FB9" w:rsidP="000F69E6">
            <w:pPr>
              <w:rPr>
                <w:rFonts w:ascii="Garamond" w:hAnsi="Garamond"/>
                <w:sz w:val="20"/>
                <w:szCs w:val="20"/>
              </w:rPr>
            </w:pPr>
          </w:p>
          <w:p w14:paraId="24EFB109" w14:textId="77777777" w:rsidR="00134FB9" w:rsidRDefault="00134FB9" w:rsidP="000F69E6">
            <w:pPr>
              <w:rPr>
                <w:rFonts w:ascii="Garamond" w:hAnsi="Garamond"/>
                <w:sz w:val="20"/>
                <w:szCs w:val="20"/>
              </w:rPr>
            </w:pPr>
          </w:p>
          <w:p w14:paraId="1A6767C2" w14:textId="77777777" w:rsidR="00134FB9" w:rsidRDefault="00134FB9" w:rsidP="000F69E6">
            <w:pPr>
              <w:rPr>
                <w:rFonts w:ascii="Garamond" w:hAnsi="Garamond"/>
                <w:sz w:val="20"/>
                <w:szCs w:val="20"/>
              </w:rPr>
            </w:pPr>
          </w:p>
          <w:p w14:paraId="3F7A25C7" w14:textId="0C044DE1" w:rsidR="00134FB9" w:rsidRPr="00DD2B43" w:rsidRDefault="00134FB9" w:rsidP="000F69E6">
            <w:pPr>
              <w:rPr>
                <w:rFonts w:ascii="Garamond" w:hAnsi="Garamond"/>
                <w:sz w:val="20"/>
                <w:szCs w:val="20"/>
              </w:rPr>
            </w:pPr>
            <w:r>
              <w:rPr>
                <w:rFonts w:ascii="Garamond" w:hAnsi="Garamond"/>
                <w:sz w:val="20"/>
                <w:szCs w:val="20"/>
              </w:rPr>
              <w:t>MPI</w:t>
            </w:r>
          </w:p>
        </w:tc>
        <w:tc>
          <w:tcPr>
            <w:tcW w:w="2324" w:type="dxa"/>
          </w:tcPr>
          <w:p w14:paraId="4C082719" w14:textId="459A5B9C" w:rsidR="00E74F3E" w:rsidRPr="00DD2B43" w:rsidRDefault="00E74F3E" w:rsidP="000F69E6">
            <w:pPr>
              <w:rPr>
                <w:rFonts w:ascii="Garamond" w:hAnsi="Garamond"/>
                <w:sz w:val="20"/>
                <w:szCs w:val="20"/>
              </w:rPr>
            </w:pPr>
            <w:r w:rsidRPr="00DD2B43">
              <w:rPr>
                <w:rFonts w:ascii="Garamond" w:hAnsi="Garamond"/>
                <w:sz w:val="20"/>
                <w:szCs w:val="20"/>
              </w:rPr>
              <w:t xml:space="preserve">MOF </w:t>
            </w:r>
            <w:r w:rsidR="0077753E">
              <w:rPr>
                <w:rFonts w:ascii="Garamond" w:hAnsi="Garamond"/>
                <w:sz w:val="20"/>
                <w:szCs w:val="20"/>
              </w:rPr>
              <w:t xml:space="preserve">prepared an MTEF and related capacity building with </w:t>
            </w:r>
            <w:r w:rsidRPr="00DD2B43">
              <w:rPr>
                <w:rFonts w:ascii="Garamond" w:hAnsi="Garamond"/>
                <w:sz w:val="20"/>
                <w:szCs w:val="20"/>
              </w:rPr>
              <w:t>support from ADB</w:t>
            </w:r>
            <w:r w:rsidR="0077753E">
              <w:rPr>
                <w:rFonts w:ascii="Garamond" w:hAnsi="Garamond"/>
                <w:sz w:val="20"/>
                <w:szCs w:val="20"/>
              </w:rPr>
              <w:t xml:space="preserve">. It still remain to be revisited </w:t>
            </w:r>
            <w:r w:rsidRPr="00DD2B43">
              <w:rPr>
                <w:rFonts w:ascii="Garamond" w:hAnsi="Garamond"/>
                <w:sz w:val="20"/>
                <w:szCs w:val="20"/>
              </w:rPr>
              <w:t xml:space="preserve"> </w:t>
            </w:r>
          </w:p>
          <w:p w14:paraId="6FD0D8D3" w14:textId="77777777" w:rsidR="00E74F3E" w:rsidRDefault="00E74F3E" w:rsidP="000F69E6">
            <w:pPr>
              <w:rPr>
                <w:rFonts w:ascii="Garamond" w:hAnsi="Garamond"/>
                <w:sz w:val="20"/>
                <w:szCs w:val="20"/>
              </w:rPr>
            </w:pPr>
          </w:p>
          <w:p w14:paraId="4DB949F6" w14:textId="77777777" w:rsidR="0077753E" w:rsidRPr="00DD2B43" w:rsidRDefault="0077753E" w:rsidP="000F69E6">
            <w:pPr>
              <w:rPr>
                <w:rFonts w:ascii="Garamond" w:hAnsi="Garamond"/>
                <w:sz w:val="20"/>
                <w:szCs w:val="20"/>
              </w:rPr>
            </w:pPr>
          </w:p>
          <w:p w14:paraId="3A1B0253" w14:textId="77777777" w:rsidR="00E74F3E" w:rsidRPr="00DD2B43" w:rsidRDefault="00E74F3E" w:rsidP="000F69E6">
            <w:pPr>
              <w:rPr>
                <w:rFonts w:ascii="Garamond" w:hAnsi="Garamond"/>
                <w:sz w:val="20"/>
                <w:szCs w:val="20"/>
              </w:rPr>
            </w:pPr>
            <w:r w:rsidRPr="00DD2B43">
              <w:rPr>
                <w:rFonts w:ascii="Garamond" w:hAnsi="Garamond"/>
                <w:sz w:val="20"/>
                <w:szCs w:val="20"/>
              </w:rPr>
              <w:t>Completed</w:t>
            </w:r>
          </w:p>
          <w:p w14:paraId="393504BE" w14:textId="77777777" w:rsidR="00E74F3E" w:rsidRPr="00DD2B43" w:rsidRDefault="00E74F3E" w:rsidP="000F69E6">
            <w:pPr>
              <w:rPr>
                <w:rFonts w:ascii="Garamond" w:hAnsi="Garamond"/>
                <w:sz w:val="20"/>
                <w:szCs w:val="20"/>
              </w:rPr>
            </w:pPr>
          </w:p>
          <w:p w14:paraId="4203B7A7" w14:textId="77777777" w:rsidR="00E74F3E" w:rsidRPr="00DD2B43" w:rsidRDefault="00E74F3E" w:rsidP="000F69E6">
            <w:pPr>
              <w:rPr>
                <w:rFonts w:ascii="Garamond" w:hAnsi="Garamond"/>
                <w:sz w:val="20"/>
                <w:szCs w:val="20"/>
              </w:rPr>
            </w:pPr>
          </w:p>
          <w:p w14:paraId="23A95836" w14:textId="77777777" w:rsidR="00E74F3E" w:rsidRPr="00DD2B43" w:rsidRDefault="00E74F3E" w:rsidP="000F69E6">
            <w:pPr>
              <w:rPr>
                <w:rFonts w:ascii="Garamond" w:hAnsi="Garamond"/>
                <w:sz w:val="20"/>
                <w:szCs w:val="20"/>
              </w:rPr>
            </w:pPr>
          </w:p>
          <w:p w14:paraId="32A9E197" w14:textId="77777777" w:rsidR="00E74F3E" w:rsidRPr="00DD2B43" w:rsidRDefault="00E74F3E" w:rsidP="000F69E6">
            <w:pPr>
              <w:rPr>
                <w:rFonts w:ascii="Garamond" w:hAnsi="Garamond"/>
                <w:sz w:val="20"/>
                <w:szCs w:val="20"/>
              </w:rPr>
            </w:pPr>
          </w:p>
          <w:p w14:paraId="3A402CC1" w14:textId="77777777" w:rsidR="00E74F3E" w:rsidRPr="00DD2B43" w:rsidRDefault="00E74F3E" w:rsidP="000F69E6">
            <w:pPr>
              <w:rPr>
                <w:rFonts w:ascii="Garamond" w:hAnsi="Garamond"/>
                <w:sz w:val="20"/>
                <w:szCs w:val="20"/>
              </w:rPr>
            </w:pPr>
          </w:p>
          <w:p w14:paraId="4B01CC38" w14:textId="77777777" w:rsidR="00E74F3E" w:rsidRDefault="00E74F3E" w:rsidP="000F69E6">
            <w:pPr>
              <w:rPr>
                <w:rFonts w:ascii="Garamond" w:hAnsi="Garamond"/>
                <w:sz w:val="20"/>
                <w:szCs w:val="20"/>
              </w:rPr>
            </w:pPr>
          </w:p>
          <w:p w14:paraId="5857377C" w14:textId="77777777" w:rsidR="0077753E" w:rsidRDefault="0077753E" w:rsidP="000F69E6">
            <w:pPr>
              <w:rPr>
                <w:rFonts w:ascii="Garamond" w:hAnsi="Garamond"/>
                <w:sz w:val="20"/>
                <w:szCs w:val="20"/>
              </w:rPr>
            </w:pPr>
          </w:p>
          <w:p w14:paraId="24F87713" w14:textId="77777777" w:rsidR="0077753E" w:rsidRDefault="0077753E" w:rsidP="000F69E6">
            <w:pPr>
              <w:rPr>
                <w:rFonts w:ascii="Garamond" w:hAnsi="Garamond"/>
                <w:sz w:val="20"/>
                <w:szCs w:val="20"/>
              </w:rPr>
            </w:pPr>
          </w:p>
          <w:p w14:paraId="6AFCE45F" w14:textId="77777777" w:rsidR="0077753E" w:rsidRDefault="0077753E" w:rsidP="000F69E6">
            <w:pPr>
              <w:rPr>
                <w:rFonts w:ascii="Garamond" w:hAnsi="Garamond"/>
                <w:sz w:val="20"/>
                <w:szCs w:val="20"/>
              </w:rPr>
            </w:pPr>
          </w:p>
          <w:p w14:paraId="02D213DD" w14:textId="77777777" w:rsidR="0077753E" w:rsidRDefault="0077753E" w:rsidP="000F69E6">
            <w:pPr>
              <w:rPr>
                <w:rFonts w:ascii="Garamond" w:hAnsi="Garamond"/>
                <w:sz w:val="20"/>
                <w:szCs w:val="20"/>
              </w:rPr>
            </w:pPr>
          </w:p>
          <w:p w14:paraId="5050C8CB" w14:textId="77777777" w:rsidR="0077753E" w:rsidRDefault="0077753E" w:rsidP="000F69E6">
            <w:pPr>
              <w:rPr>
                <w:rFonts w:ascii="Garamond" w:hAnsi="Garamond"/>
                <w:sz w:val="20"/>
                <w:szCs w:val="20"/>
              </w:rPr>
            </w:pPr>
          </w:p>
          <w:p w14:paraId="463406D7" w14:textId="77777777" w:rsidR="0077753E" w:rsidRDefault="0077753E" w:rsidP="000F69E6">
            <w:pPr>
              <w:rPr>
                <w:rFonts w:ascii="Garamond" w:hAnsi="Garamond"/>
                <w:sz w:val="20"/>
                <w:szCs w:val="20"/>
              </w:rPr>
            </w:pPr>
          </w:p>
          <w:p w14:paraId="54F73095" w14:textId="77777777" w:rsidR="0077753E" w:rsidRDefault="0077753E" w:rsidP="000F69E6">
            <w:pPr>
              <w:rPr>
                <w:rFonts w:ascii="Garamond" w:hAnsi="Garamond"/>
                <w:sz w:val="20"/>
                <w:szCs w:val="20"/>
              </w:rPr>
            </w:pPr>
          </w:p>
          <w:p w14:paraId="2A0FB319" w14:textId="77777777" w:rsidR="0077753E" w:rsidRDefault="0077753E" w:rsidP="000F69E6">
            <w:pPr>
              <w:rPr>
                <w:rFonts w:ascii="Garamond" w:hAnsi="Garamond"/>
                <w:sz w:val="20"/>
                <w:szCs w:val="20"/>
              </w:rPr>
            </w:pPr>
          </w:p>
          <w:p w14:paraId="3756A04C" w14:textId="77777777" w:rsidR="0077753E" w:rsidRDefault="0077753E" w:rsidP="000F69E6">
            <w:pPr>
              <w:rPr>
                <w:rFonts w:ascii="Garamond" w:hAnsi="Garamond"/>
                <w:sz w:val="20"/>
                <w:szCs w:val="20"/>
              </w:rPr>
            </w:pPr>
          </w:p>
          <w:p w14:paraId="115051C3" w14:textId="77777777" w:rsidR="0077753E" w:rsidRDefault="0077753E" w:rsidP="000F69E6">
            <w:pPr>
              <w:rPr>
                <w:rFonts w:ascii="Garamond" w:hAnsi="Garamond"/>
                <w:sz w:val="20"/>
                <w:szCs w:val="20"/>
              </w:rPr>
            </w:pPr>
          </w:p>
          <w:p w14:paraId="515D6AA0" w14:textId="77777777" w:rsidR="0077753E" w:rsidRDefault="0077753E" w:rsidP="000F69E6">
            <w:pPr>
              <w:rPr>
                <w:rFonts w:ascii="Garamond" w:hAnsi="Garamond"/>
                <w:sz w:val="20"/>
                <w:szCs w:val="20"/>
              </w:rPr>
            </w:pPr>
          </w:p>
          <w:p w14:paraId="07D04C3A" w14:textId="77777777" w:rsidR="0077753E" w:rsidRDefault="0077753E" w:rsidP="000F69E6">
            <w:pPr>
              <w:rPr>
                <w:rFonts w:ascii="Garamond" w:hAnsi="Garamond"/>
                <w:sz w:val="20"/>
                <w:szCs w:val="20"/>
              </w:rPr>
            </w:pPr>
          </w:p>
          <w:p w14:paraId="5D090737" w14:textId="77777777" w:rsidR="0077753E" w:rsidRDefault="0077753E" w:rsidP="000F69E6">
            <w:pPr>
              <w:rPr>
                <w:rFonts w:ascii="Garamond" w:hAnsi="Garamond"/>
                <w:sz w:val="20"/>
                <w:szCs w:val="20"/>
              </w:rPr>
            </w:pPr>
          </w:p>
          <w:p w14:paraId="3E66A106" w14:textId="77777777" w:rsidR="0077753E" w:rsidRPr="00DD2B43" w:rsidRDefault="0077753E" w:rsidP="000F69E6">
            <w:pPr>
              <w:rPr>
                <w:rFonts w:ascii="Garamond" w:hAnsi="Garamond"/>
                <w:sz w:val="20"/>
                <w:szCs w:val="20"/>
              </w:rPr>
            </w:pPr>
          </w:p>
          <w:p w14:paraId="1F044D99" w14:textId="77777777" w:rsidR="00E74F3E" w:rsidRPr="00DD2B43" w:rsidRDefault="00E74F3E" w:rsidP="000F69E6">
            <w:pPr>
              <w:rPr>
                <w:rFonts w:ascii="Garamond" w:hAnsi="Garamond"/>
                <w:sz w:val="20"/>
                <w:szCs w:val="20"/>
              </w:rPr>
            </w:pPr>
          </w:p>
          <w:p w14:paraId="195D5E98" w14:textId="77777777" w:rsidR="00EC6A10" w:rsidRDefault="00E74F3E" w:rsidP="000F69E6">
            <w:pPr>
              <w:rPr>
                <w:rFonts w:ascii="Garamond" w:hAnsi="Garamond"/>
                <w:sz w:val="20"/>
                <w:szCs w:val="20"/>
              </w:rPr>
            </w:pPr>
            <w:r w:rsidRPr="00DD2B43">
              <w:rPr>
                <w:rFonts w:ascii="Garamond" w:hAnsi="Garamond"/>
                <w:sz w:val="20"/>
                <w:szCs w:val="20"/>
              </w:rPr>
              <w:lastRenderedPageBreak/>
              <w:t>Completed</w:t>
            </w:r>
            <w:r w:rsidR="00EC6A10">
              <w:rPr>
                <w:rFonts w:ascii="Garamond" w:hAnsi="Garamond"/>
                <w:sz w:val="20"/>
                <w:szCs w:val="20"/>
              </w:rPr>
              <w:t xml:space="preserve"> in April 2015</w:t>
            </w:r>
          </w:p>
          <w:p w14:paraId="1FDCF53F" w14:textId="15219544" w:rsidR="00EC6A10" w:rsidRDefault="00EC6A10" w:rsidP="00EC6A10">
            <w:pPr>
              <w:rPr>
                <w:rFonts w:ascii="Garamond" w:hAnsi="Garamond"/>
                <w:sz w:val="20"/>
                <w:szCs w:val="20"/>
              </w:rPr>
            </w:pPr>
          </w:p>
          <w:p w14:paraId="0321A47A" w14:textId="2BDB3275" w:rsidR="00E74F3E" w:rsidRPr="00DD2B43" w:rsidRDefault="00E74F3E" w:rsidP="00EC6A10">
            <w:pPr>
              <w:rPr>
                <w:rFonts w:ascii="Garamond" w:hAnsi="Garamond"/>
                <w:sz w:val="20"/>
                <w:szCs w:val="20"/>
              </w:rPr>
            </w:pPr>
            <w:r w:rsidRPr="00DD2B43">
              <w:rPr>
                <w:rFonts w:ascii="Garamond" w:hAnsi="Garamond"/>
                <w:sz w:val="20"/>
                <w:szCs w:val="20"/>
              </w:rPr>
              <w:t>Study visit in South Korea</w:t>
            </w:r>
            <w:r w:rsidR="00EC6A10">
              <w:rPr>
                <w:rFonts w:ascii="Garamond" w:hAnsi="Garamond"/>
                <w:sz w:val="20"/>
                <w:szCs w:val="20"/>
              </w:rPr>
              <w:t xml:space="preserve"> in November 2015</w:t>
            </w:r>
          </w:p>
        </w:tc>
        <w:tc>
          <w:tcPr>
            <w:tcW w:w="2250" w:type="dxa"/>
          </w:tcPr>
          <w:p w14:paraId="03C3E953" w14:textId="7282EDEB" w:rsidR="00E74F3E" w:rsidRPr="00DD2B43" w:rsidRDefault="008A4BC1" w:rsidP="005A5FA4">
            <w:pPr>
              <w:rPr>
                <w:rFonts w:ascii="Garamond" w:hAnsi="Garamond"/>
                <w:sz w:val="20"/>
                <w:szCs w:val="20"/>
              </w:rPr>
            </w:pPr>
            <w:r>
              <w:rPr>
                <w:rFonts w:ascii="Garamond" w:hAnsi="Garamond"/>
                <w:sz w:val="20"/>
                <w:szCs w:val="20"/>
              </w:rPr>
              <w:lastRenderedPageBreak/>
              <w:t xml:space="preserve">The link between the planning and budgeting and realistic capacity of financing sources still a challenge. </w:t>
            </w:r>
          </w:p>
        </w:tc>
        <w:tc>
          <w:tcPr>
            <w:tcW w:w="2012" w:type="dxa"/>
          </w:tcPr>
          <w:p w14:paraId="3B20DCB2" w14:textId="77777777" w:rsidR="00E74F3E" w:rsidRPr="00DD2B43" w:rsidRDefault="00E74F3E" w:rsidP="000F69E6">
            <w:pPr>
              <w:rPr>
                <w:rFonts w:ascii="Garamond" w:hAnsi="Garamond"/>
                <w:sz w:val="20"/>
                <w:szCs w:val="20"/>
              </w:rPr>
            </w:pPr>
            <w:r w:rsidRPr="00DD2B43">
              <w:rPr>
                <w:rFonts w:ascii="Garamond" w:hAnsi="Garamond"/>
                <w:sz w:val="20"/>
                <w:szCs w:val="20"/>
              </w:rPr>
              <w:t xml:space="preserve">Stress the importance of linking budgeting and planning process in order to ensure effective implementation </w:t>
            </w:r>
          </w:p>
        </w:tc>
      </w:tr>
    </w:tbl>
    <w:p w14:paraId="29FA4C24" w14:textId="2E02A305" w:rsidR="0056211D" w:rsidRDefault="0056211D"/>
    <w:sectPr w:rsidR="0056211D" w:rsidSect="005A5F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Segoe UI">
    <w:altName w:val="Courier New"/>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okChampa">
    <w:altName w:val="Arial Unicode MS"/>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E4"/>
    <w:multiLevelType w:val="multilevel"/>
    <w:tmpl w:val="BDE22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42362"/>
    <w:multiLevelType w:val="multilevel"/>
    <w:tmpl w:val="5D18CF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64243C"/>
    <w:multiLevelType w:val="hybridMultilevel"/>
    <w:tmpl w:val="A8E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50A50"/>
    <w:multiLevelType w:val="hybridMultilevel"/>
    <w:tmpl w:val="B908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C2C5B"/>
    <w:multiLevelType w:val="hybridMultilevel"/>
    <w:tmpl w:val="C6DC7E98"/>
    <w:lvl w:ilvl="0" w:tplc="4F8ABEF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A0579C"/>
    <w:multiLevelType w:val="multilevel"/>
    <w:tmpl w:val="9EBC2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811695"/>
    <w:multiLevelType w:val="multilevel"/>
    <w:tmpl w:val="19D082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057E65"/>
    <w:multiLevelType w:val="multilevel"/>
    <w:tmpl w:val="96B88C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874378"/>
    <w:multiLevelType w:val="multilevel"/>
    <w:tmpl w:val="3620B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077D7E"/>
    <w:multiLevelType w:val="hybridMultilevel"/>
    <w:tmpl w:val="B762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1430F"/>
    <w:multiLevelType w:val="hybridMultilevel"/>
    <w:tmpl w:val="B6F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105CC"/>
    <w:multiLevelType w:val="hybridMultilevel"/>
    <w:tmpl w:val="610A261E"/>
    <w:lvl w:ilvl="0" w:tplc="E7FE9586">
      <w:start w:val="4"/>
      <w:numFmt w:val="bullet"/>
      <w:lvlText w:val="-"/>
      <w:lvlJc w:val="left"/>
      <w:pPr>
        <w:ind w:left="720" w:hanging="360"/>
      </w:pPr>
      <w:rPr>
        <w:rFonts w:ascii="Garamond" w:eastAsiaTheme="minorHAnsi" w:hAnsi="Garamond"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D5644"/>
    <w:multiLevelType w:val="hybridMultilevel"/>
    <w:tmpl w:val="2162F2E8"/>
    <w:lvl w:ilvl="0" w:tplc="26AE3AD4">
      <w:start w:val="1"/>
      <w:numFmt w:val="upp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2663D"/>
    <w:multiLevelType w:val="multilevel"/>
    <w:tmpl w:val="081422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9DE19FF"/>
    <w:multiLevelType w:val="multilevel"/>
    <w:tmpl w:val="EDB619D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
  </w:num>
  <w:num w:numId="2">
    <w:abstractNumId w:val="9"/>
  </w:num>
  <w:num w:numId="3">
    <w:abstractNumId w:val="10"/>
  </w:num>
  <w:num w:numId="4">
    <w:abstractNumId w:val="14"/>
  </w:num>
  <w:num w:numId="5">
    <w:abstractNumId w:val="0"/>
  </w:num>
  <w:num w:numId="6">
    <w:abstractNumId w:val="8"/>
  </w:num>
  <w:num w:numId="7">
    <w:abstractNumId w:val="6"/>
  </w:num>
  <w:num w:numId="8">
    <w:abstractNumId w:val="7"/>
  </w:num>
  <w:num w:numId="9">
    <w:abstractNumId w:val="2"/>
  </w:num>
  <w:num w:numId="10">
    <w:abstractNumId w:val="13"/>
  </w:num>
  <w:num w:numId="11">
    <w:abstractNumId w:val="3"/>
  </w:num>
  <w:num w:numId="12">
    <w:abstractNumId w:val="12"/>
  </w:num>
  <w:num w:numId="13">
    <w:abstractNumId w:val="5"/>
  </w:num>
  <w:num w:numId="14">
    <w:abstractNumId w:val="1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38"/>
    <w:rsid w:val="00012609"/>
    <w:rsid w:val="000128D5"/>
    <w:rsid w:val="00020977"/>
    <w:rsid w:val="000333FC"/>
    <w:rsid w:val="0003580B"/>
    <w:rsid w:val="00070759"/>
    <w:rsid w:val="0008784E"/>
    <w:rsid w:val="000B581A"/>
    <w:rsid w:val="00105715"/>
    <w:rsid w:val="0012149A"/>
    <w:rsid w:val="0012528F"/>
    <w:rsid w:val="00126B67"/>
    <w:rsid w:val="00134FB9"/>
    <w:rsid w:val="001409EF"/>
    <w:rsid w:val="00163563"/>
    <w:rsid w:val="00163F95"/>
    <w:rsid w:val="001D5C62"/>
    <w:rsid w:val="002125F5"/>
    <w:rsid w:val="00215294"/>
    <w:rsid w:val="00227B4D"/>
    <w:rsid w:val="00234180"/>
    <w:rsid w:val="002700B7"/>
    <w:rsid w:val="00295CAF"/>
    <w:rsid w:val="00295F9B"/>
    <w:rsid w:val="002E2A2A"/>
    <w:rsid w:val="00334B8D"/>
    <w:rsid w:val="003550EC"/>
    <w:rsid w:val="0035602D"/>
    <w:rsid w:val="003B6DDA"/>
    <w:rsid w:val="003B7A43"/>
    <w:rsid w:val="003D6013"/>
    <w:rsid w:val="00401252"/>
    <w:rsid w:val="00420838"/>
    <w:rsid w:val="00422AA4"/>
    <w:rsid w:val="00463822"/>
    <w:rsid w:val="00464E62"/>
    <w:rsid w:val="00497024"/>
    <w:rsid w:val="004A4D86"/>
    <w:rsid w:val="004C4118"/>
    <w:rsid w:val="0050645B"/>
    <w:rsid w:val="005147EB"/>
    <w:rsid w:val="00517E18"/>
    <w:rsid w:val="00541B17"/>
    <w:rsid w:val="00560D4C"/>
    <w:rsid w:val="0056211D"/>
    <w:rsid w:val="00595447"/>
    <w:rsid w:val="005A46E0"/>
    <w:rsid w:val="005A5FA4"/>
    <w:rsid w:val="005E2DA1"/>
    <w:rsid w:val="005F3056"/>
    <w:rsid w:val="005F5D9B"/>
    <w:rsid w:val="005F79F4"/>
    <w:rsid w:val="0060023D"/>
    <w:rsid w:val="00602FCF"/>
    <w:rsid w:val="006053CA"/>
    <w:rsid w:val="00611EF7"/>
    <w:rsid w:val="0062094E"/>
    <w:rsid w:val="006218EA"/>
    <w:rsid w:val="006A45A1"/>
    <w:rsid w:val="006C5146"/>
    <w:rsid w:val="006C538E"/>
    <w:rsid w:val="00700271"/>
    <w:rsid w:val="00723978"/>
    <w:rsid w:val="0072503E"/>
    <w:rsid w:val="007438F1"/>
    <w:rsid w:val="0077753E"/>
    <w:rsid w:val="00792B14"/>
    <w:rsid w:val="00815083"/>
    <w:rsid w:val="00822576"/>
    <w:rsid w:val="008776D6"/>
    <w:rsid w:val="00894E8C"/>
    <w:rsid w:val="008A4BC1"/>
    <w:rsid w:val="008C1F39"/>
    <w:rsid w:val="008C3A89"/>
    <w:rsid w:val="008D11DF"/>
    <w:rsid w:val="008F58A8"/>
    <w:rsid w:val="0090413C"/>
    <w:rsid w:val="00904798"/>
    <w:rsid w:val="00940AFF"/>
    <w:rsid w:val="00947619"/>
    <w:rsid w:val="0095404C"/>
    <w:rsid w:val="00980619"/>
    <w:rsid w:val="00997181"/>
    <w:rsid w:val="00A55FA0"/>
    <w:rsid w:val="00A73FFE"/>
    <w:rsid w:val="00A8741C"/>
    <w:rsid w:val="00B16243"/>
    <w:rsid w:val="00B361BB"/>
    <w:rsid w:val="00B6336C"/>
    <w:rsid w:val="00B65D7D"/>
    <w:rsid w:val="00BD0D1A"/>
    <w:rsid w:val="00BD393F"/>
    <w:rsid w:val="00BD5231"/>
    <w:rsid w:val="00BF5225"/>
    <w:rsid w:val="00C1270B"/>
    <w:rsid w:val="00C165A4"/>
    <w:rsid w:val="00C225D2"/>
    <w:rsid w:val="00C4002F"/>
    <w:rsid w:val="00C44DA7"/>
    <w:rsid w:val="00C97A20"/>
    <w:rsid w:val="00CD2FBD"/>
    <w:rsid w:val="00CD3C50"/>
    <w:rsid w:val="00CE4A97"/>
    <w:rsid w:val="00D70502"/>
    <w:rsid w:val="00D70670"/>
    <w:rsid w:val="00D95561"/>
    <w:rsid w:val="00DC59AE"/>
    <w:rsid w:val="00E2418A"/>
    <w:rsid w:val="00E46221"/>
    <w:rsid w:val="00E74F3E"/>
    <w:rsid w:val="00E85449"/>
    <w:rsid w:val="00E907E5"/>
    <w:rsid w:val="00EB21D3"/>
    <w:rsid w:val="00EC1EC2"/>
    <w:rsid w:val="00EC6A10"/>
    <w:rsid w:val="00ED50A6"/>
    <w:rsid w:val="00EE3C2D"/>
    <w:rsid w:val="00EE6E95"/>
    <w:rsid w:val="00F13266"/>
    <w:rsid w:val="00F65950"/>
    <w:rsid w:val="00F9519B"/>
    <w:rsid w:val="00F97E89"/>
    <w:rsid w:val="00FD0A11"/>
    <w:rsid w:val="00FF5F0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5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38"/>
    <w:pPr>
      <w:spacing w:after="0" w:line="240" w:lineRule="auto"/>
    </w:pPr>
    <w:rPr>
      <w:sz w:val="24"/>
      <w:szCs w:val="24"/>
    </w:rPr>
  </w:style>
  <w:style w:type="paragraph" w:styleId="Heading1">
    <w:name w:val="heading 1"/>
    <w:basedOn w:val="Normal"/>
    <w:next w:val="Normal"/>
    <w:link w:val="Heading1Char"/>
    <w:qFormat/>
    <w:rsid w:val="0042083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838"/>
    <w:rPr>
      <w:rFonts w:asciiTheme="majorHAnsi" w:eastAsiaTheme="majorEastAsia" w:hAnsiTheme="majorHAnsi" w:cstheme="majorBidi"/>
      <w:b/>
      <w:bCs/>
      <w:color w:val="2C6EAB" w:themeColor="accent1" w:themeShade="B5"/>
      <w:sz w:val="32"/>
      <w:szCs w:val="32"/>
    </w:rPr>
  </w:style>
  <w:style w:type="table" w:styleId="TableGrid">
    <w:name w:val="Table Grid"/>
    <w:basedOn w:val="TableNormal"/>
    <w:rsid w:val="0042083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References"/>
    <w:basedOn w:val="Normal"/>
    <w:link w:val="ListParagraphChar"/>
    <w:uiPriority w:val="34"/>
    <w:qFormat/>
    <w:rsid w:val="00420838"/>
    <w:pPr>
      <w:ind w:left="720"/>
      <w:contextualSpacing/>
    </w:pPr>
  </w:style>
  <w:style w:type="character" w:customStyle="1" w:styleId="ListParagraphChar">
    <w:name w:val="List Paragraph Char"/>
    <w:aliases w:val="References Char"/>
    <w:basedOn w:val="DefaultParagraphFont"/>
    <w:link w:val="ListParagraph"/>
    <w:uiPriority w:val="34"/>
    <w:locked/>
    <w:rsid w:val="00420838"/>
    <w:rPr>
      <w:sz w:val="24"/>
      <w:szCs w:val="24"/>
    </w:rPr>
  </w:style>
  <w:style w:type="paragraph" w:styleId="BalloonText">
    <w:name w:val="Balloon Text"/>
    <w:basedOn w:val="Normal"/>
    <w:link w:val="BalloonTextChar"/>
    <w:uiPriority w:val="99"/>
    <w:semiHidden/>
    <w:unhideWhenUsed/>
    <w:rsid w:val="00BD0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1A"/>
    <w:rPr>
      <w:rFonts w:ascii="Segoe UI" w:hAnsi="Segoe UI" w:cs="Segoe UI"/>
      <w:sz w:val="18"/>
      <w:szCs w:val="18"/>
    </w:rPr>
  </w:style>
  <w:style w:type="character" w:styleId="CommentReference">
    <w:name w:val="annotation reference"/>
    <w:basedOn w:val="DefaultParagraphFont"/>
    <w:uiPriority w:val="99"/>
    <w:semiHidden/>
    <w:unhideWhenUsed/>
    <w:rsid w:val="00E74F3E"/>
    <w:rPr>
      <w:sz w:val="16"/>
      <w:szCs w:val="16"/>
    </w:rPr>
  </w:style>
  <w:style w:type="paragraph" w:styleId="CommentText">
    <w:name w:val="annotation text"/>
    <w:basedOn w:val="Normal"/>
    <w:link w:val="CommentTextChar"/>
    <w:uiPriority w:val="99"/>
    <w:semiHidden/>
    <w:unhideWhenUsed/>
    <w:rsid w:val="00E74F3E"/>
    <w:rPr>
      <w:rFonts w:eastAsiaTheme="minorEastAsia"/>
      <w:sz w:val="20"/>
      <w:szCs w:val="20"/>
    </w:rPr>
  </w:style>
  <w:style w:type="character" w:customStyle="1" w:styleId="CommentTextChar">
    <w:name w:val="Comment Text Char"/>
    <w:basedOn w:val="DefaultParagraphFont"/>
    <w:link w:val="CommentText"/>
    <w:uiPriority w:val="99"/>
    <w:semiHidden/>
    <w:rsid w:val="00E74F3E"/>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38"/>
    <w:pPr>
      <w:spacing w:after="0" w:line="240" w:lineRule="auto"/>
    </w:pPr>
    <w:rPr>
      <w:sz w:val="24"/>
      <w:szCs w:val="24"/>
    </w:rPr>
  </w:style>
  <w:style w:type="paragraph" w:styleId="Heading1">
    <w:name w:val="heading 1"/>
    <w:basedOn w:val="Normal"/>
    <w:next w:val="Normal"/>
    <w:link w:val="Heading1Char"/>
    <w:qFormat/>
    <w:rsid w:val="0042083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838"/>
    <w:rPr>
      <w:rFonts w:asciiTheme="majorHAnsi" w:eastAsiaTheme="majorEastAsia" w:hAnsiTheme="majorHAnsi" w:cstheme="majorBidi"/>
      <w:b/>
      <w:bCs/>
      <w:color w:val="2C6EAB" w:themeColor="accent1" w:themeShade="B5"/>
      <w:sz w:val="32"/>
      <w:szCs w:val="32"/>
    </w:rPr>
  </w:style>
  <w:style w:type="table" w:styleId="TableGrid">
    <w:name w:val="Table Grid"/>
    <w:basedOn w:val="TableNormal"/>
    <w:rsid w:val="0042083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References"/>
    <w:basedOn w:val="Normal"/>
    <w:link w:val="ListParagraphChar"/>
    <w:uiPriority w:val="34"/>
    <w:qFormat/>
    <w:rsid w:val="00420838"/>
    <w:pPr>
      <w:ind w:left="720"/>
      <w:contextualSpacing/>
    </w:pPr>
  </w:style>
  <w:style w:type="character" w:customStyle="1" w:styleId="ListParagraphChar">
    <w:name w:val="List Paragraph Char"/>
    <w:aliases w:val="References Char"/>
    <w:basedOn w:val="DefaultParagraphFont"/>
    <w:link w:val="ListParagraph"/>
    <w:uiPriority w:val="34"/>
    <w:locked/>
    <w:rsid w:val="00420838"/>
    <w:rPr>
      <w:sz w:val="24"/>
      <w:szCs w:val="24"/>
    </w:rPr>
  </w:style>
  <w:style w:type="paragraph" w:styleId="BalloonText">
    <w:name w:val="Balloon Text"/>
    <w:basedOn w:val="Normal"/>
    <w:link w:val="BalloonTextChar"/>
    <w:uiPriority w:val="99"/>
    <w:semiHidden/>
    <w:unhideWhenUsed/>
    <w:rsid w:val="00BD0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1A"/>
    <w:rPr>
      <w:rFonts w:ascii="Segoe UI" w:hAnsi="Segoe UI" w:cs="Segoe UI"/>
      <w:sz w:val="18"/>
      <w:szCs w:val="18"/>
    </w:rPr>
  </w:style>
  <w:style w:type="character" w:styleId="CommentReference">
    <w:name w:val="annotation reference"/>
    <w:basedOn w:val="DefaultParagraphFont"/>
    <w:uiPriority w:val="99"/>
    <w:semiHidden/>
    <w:unhideWhenUsed/>
    <w:rsid w:val="00E74F3E"/>
    <w:rPr>
      <w:sz w:val="16"/>
      <w:szCs w:val="16"/>
    </w:rPr>
  </w:style>
  <w:style w:type="paragraph" w:styleId="CommentText">
    <w:name w:val="annotation text"/>
    <w:basedOn w:val="Normal"/>
    <w:link w:val="CommentTextChar"/>
    <w:uiPriority w:val="99"/>
    <w:semiHidden/>
    <w:unhideWhenUsed/>
    <w:rsid w:val="00E74F3E"/>
    <w:rPr>
      <w:rFonts w:eastAsiaTheme="minorEastAsia"/>
      <w:sz w:val="20"/>
      <w:szCs w:val="20"/>
    </w:rPr>
  </w:style>
  <w:style w:type="character" w:customStyle="1" w:styleId="CommentTextChar">
    <w:name w:val="Comment Text Char"/>
    <w:basedOn w:val="DefaultParagraphFont"/>
    <w:link w:val="CommentText"/>
    <w:uiPriority w:val="99"/>
    <w:semiHidden/>
    <w:rsid w:val="00E74F3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9584">
      <w:bodyDiv w:val="1"/>
      <w:marLeft w:val="0"/>
      <w:marRight w:val="0"/>
      <w:marTop w:val="0"/>
      <w:marBottom w:val="0"/>
      <w:divBdr>
        <w:top w:val="none" w:sz="0" w:space="0" w:color="auto"/>
        <w:left w:val="none" w:sz="0" w:space="0" w:color="auto"/>
        <w:bottom w:val="none" w:sz="0" w:space="0" w:color="auto"/>
        <w:right w:val="none" w:sz="0" w:space="0" w:color="auto"/>
      </w:divBdr>
    </w:div>
    <w:div w:id="789058385">
      <w:bodyDiv w:val="1"/>
      <w:marLeft w:val="0"/>
      <w:marRight w:val="0"/>
      <w:marTop w:val="0"/>
      <w:marBottom w:val="0"/>
      <w:divBdr>
        <w:top w:val="none" w:sz="0" w:space="0" w:color="auto"/>
        <w:left w:val="none" w:sz="0" w:space="0" w:color="auto"/>
        <w:bottom w:val="none" w:sz="0" w:space="0" w:color="auto"/>
        <w:right w:val="none" w:sz="0" w:space="0" w:color="auto"/>
      </w:divBdr>
    </w:div>
    <w:div w:id="19476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2758</Words>
  <Characters>15724</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 Najdov</dc:creator>
  <cp:keywords/>
  <dc:description/>
  <cp:lastModifiedBy>Matthew Taylor</cp:lastModifiedBy>
  <cp:revision>2</cp:revision>
  <cp:lastPrinted>2015-11-21T08:20:00Z</cp:lastPrinted>
  <dcterms:created xsi:type="dcterms:W3CDTF">2015-11-23T01:45:00Z</dcterms:created>
  <dcterms:modified xsi:type="dcterms:W3CDTF">2015-11-23T01:45:00Z</dcterms:modified>
</cp:coreProperties>
</file>