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006CF0" w14:textId="77777777" w:rsidR="00446792" w:rsidRPr="00A14719" w:rsidRDefault="00F97B01" w:rsidP="00A14719">
      <w:pPr>
        <w:spacing w:after="0" w:line="240" w:lineRule="auto"/>
        <w:jc w:val="center"/>
        <w:rPr>
          <w:b/>
          <w:sz w:val="32"/>
          <w:szCs w:val="32"/>
          <w:u w:val="single"/>
        </w:rPr>
      </w:pPr>
      <w:r w:rsidRPr="00A14719">
        <w:rPr>
          <w:b/>
          <w:sz w:val="32"/>
          <w:szCs w:val="32"/>
          <w:u w:val="single"/>
        </w:rPr>
        <w:t xml:space="preserve">Discussion Paper </w:t>
      </w:r>
    </w:p>
    <w:p w14:paraId="3550B569" w14:textId="2B5E8F6D" w:rsidR="00F97B01" w:rsidRPr="00A14719" w:rsidRDefault="00446792" w:rsidP="00A14719">
      <w:pPr>
        <w:spacing w:after="0" w:line="240" w:lineRule="auto"/>
        <w:jc w:val="center"/>
        <w:rPr>
          <w:b/>
          <w:sz w:val="32"/>
          <w:szCs w:val="32"/>
        </w:rPr>
      </w:pPr>
      <w:r>
        <w:rPr>
          <w:b/>
          <w:sz w:val="32"/>
          <w:szCs w:val="32"/>
        </w:rPr>
        <w:t>O</w:t>
      </w:r>
      <w:r w:rsidR="00F97B01" w:rsidRPr="00A14719">
        <w:rPr>
          <w:b/>
          <w:sz w:val="32"/>
          <w:szCs w:val="32"/>
        </w:rPr>
        <w:t xml:space="preserve">n </w:t>
      </w:r>
      <w:r w:rsidR="00275D3E" w:rsidRPr="00A14719">
        <w:rPr>
          <w:b/>
          <w:sz w:val="32"/>
          <w:szCs w:val="32"/>
        </w:rPr>
        <w:t>L</w:t>
      </w:r>
      <w:r w:rsidRPr="00A14719">
        <w:rPr>
          <w:b/>
          <w:sz w:val="32"/>
          <w:szCs w:val="32"/>
        </w:rPr>
        <w:t>e</w:t>
      </w:r>
      <w:r w:rsidR="00CD46A7">
        <w:rPr>
          <w:b/>
          <w:sz w:val="32"/>
          <w:szCs w:val="32"/>
        </w:rPr>
        <w:t>a</w:t>
      </w:r>
      <w:bookmarkStart w:id="0" w:name="_GoBack"/>
      <w:bookmarkEnd w:id="0"/>
      <w:r w:rsidRPr="00A14719">
        <w:rPr>
          <w:b/>
          <w:sz w:val="32"/>
          <w:szCs w:val="32"/>
        </w:rPr>
        <w:t xml:space="preserve">st </w:t>
      </w:r>
      <w:r w:rsidR="00275D3E" w:rsidRPr="00A14719">
        <w:rPr>
          <w:b/>
          <w:sz w:val="32"/>
          <w:szCs w:val="32"/>
        </w:rPr>
        <w:t>D</w:t>
      </w:r>
      <w:r w:rsidRPr="00A14719">
        <w:rPr>
          <w:b/>
          <w:sz w:val="32"/>
          <w:szCs w:val="32"/>
        </w:rPr>
        <w:t xml:space="preserve">evelopment </w:t>
      </w:r>
      <w:r w:rsidR="00275D3E" w:rsidRPr="00A14719">
        <w:rPr>
          <w:b/>
          <w:sz w:val="32"/>
          <w:szCs w:val="32"/>
        </w:rPr>
        <w:t>C</w:t>
      </w:r>
      <w:r w:rsidRPr="00A14719">
        <w:rPr>
          <w:b/>
          <w:sz w:val="32"/>
          <w:szCs w:val="32"/>
        </w:rPr>
        <w:t>ountries (LDC)</w:t>
      </w:r>
      <w:r w:rsidR="00275D3E" w:rsidRPr="00A14719">
        <w:rPr>
          <w:b/>
          <w:sz w:val="32"/>
          <w:szCs w:val="32"/>
        </w:rPr>
        <w:t xml:space="preserve"> Graduation </w:t>
      </w:r>
      <w:r w:rsidR="00F97B01" w:rsidRPr="00A14719">
        <w:rPr>
          <w:b/>
          <w:sz w:val="32"/>
          <w:szCs w:val="32"/>
        </w:rPr>
        <w:t>of Lao PDR</w:t>
      </w:r>
    </w:p>
    <w:p w14:paraId="2D33C6EF" w14:textId="1F2266A2" w:rsidR="00366E91" w:rsidRDefault="00F97B01" w:rsidP="00A14719">
      <w:pPr>
        <w:spacing w:after="0" w:line="240" w:lineRule="auto"/>
        <w:jc w:val="center"/>
      </w:pPr>
      <w:r w:rsidRPr="00A14719">
        <w:rPr>
          <w:b/>
          <w:i/>
        </w:rPr>
        <w:t>Based on the 5</w:t>
      </w:r>
      <w:r w:rsidRPr="00A14719">
        <w:rPr>
          <w:b/>
          <w:i/>
          <w:vertAlign w:val="superscript"/>
        </w:rPr>
        <w:t>th</w:t>
      </w:r>
      <w:r w:rsidRPr="00A14719">
        <w:rPr>
          <w:b/>
          <w:i/>
        </w:rPr>
        <w:t xml:space="preserve"> National Human Development Report supported by UNDP and inputs from UNCTAD </w:t>
      </w:r>
    </w:p>
    <w:p w14:paraId="336390C1" w14:textId="77777777" w:rsidR="000B2CEE" w:rsidRDefault="000B2CEE" w:rsidP="00A14719">
      <w:pPr>
        <w:tabs>
          <w:tab w:val="left" w:pos="1200"/>
        </w:tabs>
        <w:spacing w:after="0" w:line="240" w:lineRule="auto"/>
        <w:jc w:val="both"/>
        <w:rPr>
          <w:b/>
          <w:sz w:val="28"/>
          <w:szCs w:val="28"/>
        </w:rPr>
      </w:pPr>
    </w:p>
    <w:p w14:paraId="7ACA763C" w14:textId="77777777" w:rsidR="00182F32" w:rsidRPr="00A14719" w:rsidRDefault="00182F32" w:rsidP="00A14719">
      <w:pPr>
        <w:tabs>
          <w:tab w:val="left" w:pos="1200"/>
        </w:tabs>
        <w:spacing w:after="0" w:line="240" w:lineRule="auto"/>
        <w:jc w:val="both"/>
        <w:rPr>
          <w:b/>
        </w:rPr>
      </w:pPr>
    </w:p>
    <w:p w14:paraId="36638961" w14:textId="1E204EF4" w:rsidR="00483FC6" w:rsidRPr="00A14719" w:rsidRDefault="002F1FB3" w:rsidP="00A14719">
      <w:pPr>
        <w:tabs>
          <w:tab w:val="left" w:pos="1200"/>
        </w:tabs>
        <w:spacing w:after="0" w:line="240" w:lineRule="auto"/>
        <w:jc w:val="both"/>
        <w:rPr>
          <w:b/>
          <w:sz w:val="28"/>
          <w:szCs w:val="28"/>
        </w:rPr>
      </w:pPr>
      <w:r w:rsidRPr="00A14719">
        <w:rPr>
          <w:b/>
          <w:sz w:val="28"/>
          <w:szCs w:val="28"/>
        </w:rPr>
        <w:t xml:space="preserve">I. </w:t>
      </w:r>
      <w:r w:rsidR="00366E91" w:rsidRPr="00A14719">
        <w:rPr>
          <w:b/>
          <w:sz w:val="28"/>
          <w:szCs w:val="28"/>
        </w:rPr>
        <w:t>Graduation from LDC status</w:t>
      </w:r>
    </w:p>
    <w:p w14:paraId="637B990A" w14:textId="77777777" w:rsidR="002F1FB3" w:rsidRPr="000B2CEE" w:rsidRDefault="00C23BDF" w:rsidP="00A14719">
      <w:pPr>
        <w:pStyle w:val="ListParagraph"/>
        <w:spacing w:after="0" w:line="240" w:lineRule="auto"/>
        <w:ind w:left="0"/>
        <w:jc w:val="both"/>
        <w:rPr>
          <w:lang w:val="en-US"/>
        </w:rPr>
      </w:pPr>
      <w:r w:rsidRPr="006753D2">
        <w:rPr>
          <w:lang w:val="en-US"/>
        </w:rPr>
        <w:t>The LDC status is given to countries by the United Nations Social and Economic Council (ECOSOC) based on three interrelated criteria which evaluate the income</w:t>
      </w:r>
      <w:r w:rsidR="00CB109C" w:rsidRPr="000B2CEE">
        <w:rPr>
          <w:lang w:val="en-US"/>
        </w:rPr>
        <w:t xml:space="preserve"> of a country </w:t>
      </w:r>
      <w:r w:rsidRPr="000B2CEE">
        <w:rPr>
          <w:lang w:val="en-US"/>
        </w:rPr>
        <w:t>as well as its structural handicaps for sustainable development. The three criteria are</w:t>
      </w:r>
      <w:r w:rsidR="002F1FB3" w:rsidRPr="000B2CEE">
        <w:rPr>
          <w:lang w:val="en-US"/>
        </w:rPr>
        <w:t>:</w:t>
      </w:r>
    </w:p>
    <w:p w14:paraId="1EE4224E" w14:textId="05C80FC0" w:rsidR="000B2CEE" w:rsidRPr="00A14719" w:rsidRDefault="00C23BDF" w:rsidP="00A14719">
      <w:pPr>
        <w:pStyle w:val="ListParagraph"/>
        <w:numPr>
          <w:ilvl w:val="0"/>
          <w:numId w:val="3"/>
        </w:numPr>
        <w:spacing w:after="0" w:line="240" w:lineRule="auto"/>
        <w:ind w:left="1134"/>
        <w:jc w:val="both"/>
        <w:rPr>
          <w:b/>
          <w:lang w:val="en-US"/>
        </w:rPr>
      </w:pPr>
      <w:r w:rsidRPr="00A14719">
        <w:rPr>
          <w:b/>
          <w:lang w:val="en-US"/>
        </w:rPr>
        <w:t>G</w:t>
      </w:r>
      <w:r w:rsidR="002F1FB3" w:rsidRPr="00A14719">
        <w:rPr>
          <w:b/>
          <w:lang w:val="en-US"/>
        </w:rPr>
        <w:t xml:space="preserve">ross </w:t>
      </w:r>
      <w:r w:rsidRPr="00A14719">
        <w:rPr>
          <w:b/>
          <w:lang w:val="en-US"/>
        </w:rPr>
        <w:t>N</w:t>
      </w:r>
      <w:r w:rsidR="002F1FB3" w:rsidRPr="00A14719">
        <w:rPr>
          <w:b/>
          <w:lang w:val="en-US"/>
        </w:rPr>
        <w:t xml:space="preserve">ational </w:t>
      </w:r>
      <w:r w:rsidRPr="00A14719">
        <w:rPr>
          <w:b/>
          <w:lang w:val="en-US"/>
        </w:rPr>
        <w:t>I</w:t>
      </w:r>
      <w:r w:rsidR="002F1FB3" w:rsidRPr="00A14719">
        <w:rPr>
          <w:b/>
          <w:lang w:val="en-US"/>
        </w:rPr>
        <w:t>ncome</w:t>
      </w:r>
      <w:r w:rsidRPr="00A14719">
        <w:rPr>
          <w:b/>
          <w:lang w:val="en-US"/>
        </w:rPr>
        <w:t xml:space="preserve"> </w:t>
      </w:r>
      <w:r w:rsidR="002F1FB3" w:rsidRPr="00A14719">
        <w:rPr>
          <w:b/>
          <w:lang w:val="en-US"/>
        </w:rPr>
        <w:t xml:space="preserve">(GNI) </w:t>
      </w:r>
      <w:r w:rsidRPr="00A14719">
        <w:rPr>
          <w:b/>
          <w:lang w:val="en-US"/>
        </w:rPr>
        <w:t xml:space="preserve">per capita, </w:t>
      </w:r>
    </w:p>
    <w:p w14:paraId="1F43D3C7" w14:textId="0DF00E02" w:rsidR="000B2CEE" w:rsidRPr="00A14719" w:rsidRDefault="00C23BDF" w:rsidP="00A14719">
      <w:pPr>
        <w:pStyle w:val="ListParagraph"/>
        <w:numPr>
          <w:ilvl w:val="0"/>
          <w:numId w:val="3"/>
        </w:numPr>
        <w:spacing w:after="0" w:line="240" w:lineRule="auto"/>
        <w:ind w:left="1134"/>
        <w:jc w:val="both"/>
        <w:rPr>
          <w:b/>
          <w:lang w:val="en-US"/>
        </w:rPr>
      </w:pPr>
      <w:r w:rsidRPr="00A14719">
        <w:rPr>
          <w:b/>
          <w:lang w:val="en-US"/>
        </w:rPr>
        <w:t xml:space="preserve">Human </w:t>
      </w:r>
      <w:r w:rsidR="00E24F30" w:rsidRPr="00A14719">
        <w:rPr>
          <w:b/>
          <w:lang w:val="en-US"/>
        </w:rPr>
        <w:t>Assets</w:t>
      </w:r>
      <w:r w:rsidRPr="00A14719">
        <w:rPr>
          <w:b/>
          <w:lang w:val="en-US"/>
        </w:rPr>
        <w:t xml:space="preserve"> Index (HAI) and</w:t>
      </w:r>
      <w:r w:rsidR="00446792" w:rsidRPr="00A14719">
        <w:rPr>
          <w:b/>
          <w:lang w:val="en-US"/>
        </w:rPr>
        <w:t>,</w:t>
      </w:r>
    </w:p>
    <w:p w14:paraId="4A47347D" w14:textId="066FCA46" w:rsidR="000B2CEE" w:rsidRPr="00A14719" w:rsidRDefault="00C23BDF" w:rsidP="00A14719">
      <w:pPr>
        <w:pStyle w:val="ListParagraph"/>
        <w:numPr>
          <w:ilvl w:val="0"/>
          <w:numId w:val="3"/>
        </w:numPr>
        <w:spacing w:after="0" w:line="240" w:lineRule="auto"/>
        <w:ind w:left="1134"/>
        <w:jc w:val="both"/>
        <w:rPr>
          <w:b/>
          <w:lang w:val="en-US"/>
        </w:rPr>
      </w:pPr>
      <w:r w:rsidRPr="00A14719">
        <w:rPr>
          <w:b/>
          <w:lang w:val="en-US"/>
        </w:rPr>
        <w:t>Economic Vulnerability Index (EVI</w:t>
      </w:r>
      <w:r w:rsidR="00483FC6" w:rsidRPr="00A14719">
        <w:rPr>
          <w:b/>
          <w:lang w:val="en-US"/>
        </w:rPr>
        <w:t>)</w:t>
      </w:r>
      <w:r w:rsidRPr="00A14719">
        <w:rPr>
          <w:b/>
          <w:lang w:val="en-US"/>
        </w:rPr>
        <w:t xml:space="preserve">. </w:t>
      </w:r>
    </w:p>
    <w:p w14:paraId="09AF8F9D" w14:textId="77777777" w:rsidR="000B2CEE" w:rsidRPr="006753D2" w:rsidRDefault="000B2CEE" w:rsidP="00A14719">
      <w:pPr>
        <w:pStyle w:val="ListParagraph"/>
        <w:spacing w:after="0" w:line="240" w:lineRule="auto"/>
        <w:ind w:left="1134"/>
        <w:jc w:val="both"/>
        <w:rPr>
          <w:lang w:val="en-US"/>
        </w:rPr>
      </w:pPr>
    </w:p>
    <w:p w14:paraId="239A1DD0" w14:textId="2495FD30" w:rsidR="00C23BDF" w:rsidRPr="000B2CEE" w:rsidRDefault="00C23BDF" w:rsidP="00A14719">
      <w:pPr>
        <w:pStyle w:val="ListParagraph"/>
        <w:spacing w:after="0" w:line="240" w:lineRule="auto"/>
        <w:ind w:left="0"/>
        <w:jc w:val="both"/>
        <w:rPr>
          <w:lang w:val="en-US"/>
        </w:rPr>
      </w:pPr>
      <w:r w:rsidRPr="006753D2">
        <w:rPr>
          <w:lang w:val="en-US"/>
        </w:rPr>
        <w:t>These criteria are reviewed every three years by the Committee for Development Policy (CDP) from the United Nations Development Policy and Analysis Division (UNDESA). It is during those triennial reviews that the list of LDC can be reviewed to either in</w:t>
      </w:r>
      <w:r w:rsidRPr="000B2CEE">
        <w:rPr>
          <w:lang w:val="en-US"/>
        </w:rPr>
        <w:t xml:space="preserve">clude countries which would meet the inclusion thresholds, or recommend others for graduation and to be removed from the list </w:t>
      </w:r>
      <w:proofErr w:type="gramStart"/>
      <w:r w:rsidRPr="000B2CEE">
        <w:rPr>
          <w:lang w:val="en-US"/>
        </w:rPr>
        <w:t>later on</w:t>
      </w:r>
      <w:proofErr w:type="gramEnd"/>
      <w:r w:rsidRPr="000B2CEE">
        <w:rPr>
          <w:lang w:val="en-US"/>
        </w:rPr>
        <w:t xml:space="preserve">. The latest triennial review took place in March 2015. </w:t>
      </w:r>
    </w:p>
    <w:p w14:paraId="6A768AA7" w14:textId="77777777" w:rsidR="00CB109C" w:rsidRDefault="00CB109C" w:rsidP="00A14719">
      <w:pPr>
        <w:spacing w:after="0" w:line="240" w:lineRule="auto"/>
        <w:jc w:val="both"/>
        <w:rPr>
          <w:lang w:val="en-US"/>
        </w:rPr>
      </w:pPr>
    </w:p>
    <w:p w14:paraId="11A93B6D" w14:textId="77777777" w:rsidR="00182F32" w:rsidRDefault="00182F32" w:rsidP="00A14719">
      <w:pPr>
        <w:spacing w:after="0" w:line="240" w:lineRule="auto"/>
        <w:jc w:val="both"/>
        <w:rPr>
          <w:lang w:val="en-US"/>
        </w:rPr>
      </w:pPr>
    </w:p>
    <w:p w14:paraId="60B21D8E" w14:textId="1014DA54" w:rsidR="00DC0ADF" w:rsidRPr="00A14719" w:rsidRDefault="002F1FB3" w:rsidP="00A14719">
      <w:pPr>
        <w:pStyle w:val="ListParagraph"/>
        <w:numPr>
          <w:ilvl w:val="1"/>
          <w:numId w:val="5"/>
        </w:numPr>
        <w:spacing w:after="0" w:line="240" w:lineRule="auto"/>
        <w:jc w:val="both"/>
        <w:rPr>
          <w:b/>
          <w:sz w:val="24"/>
          <w:lang w:val="en-US"/>
        </w:rPr>
      </w:pPr>
      <w:r w:rsidRPr="00A14719">
        <w:rPr>
          <w:b/>
          <w:sz w:val="24"/>
          <w:lang w:val="en-US"/>
        </w:rPr>
        <w:t>Gross National Income (</w:t>
      </w:r>
      <w:r w:rsidR="00DC0ADF" w:rsidRPr="00A14719">
        <w:rPr>
          <w:b/>
          <w:sz w:val="24"/>
          <w:lang w:val="en-US"/>
        </w:rPr>
        <w:t>GNI</w:t>
      </w:r>
      <w:r w:rsidRPr="00A14719">
        <w:rPr>
          <w:b/>
          <w:sz w:val="24"/>
          <w:lang w:val="en-US"/>
        </w:rPr>
        <w:t>)</w:t>
      </w:r>
      <w:r w:rsidR="00DC0ADF" w:rsidRPr="00A14719">
        <w:rPr>
          <w:b/>
          <w:sz w:val="24"/>
          <w:lang w:val="en-US"/>
        </w:rPr>
        <w:t xml:space="preserve"> per capita</w:t>
      </w:r>
    </w:p>
    <w:p w14:paraId="565F4246" w14:textId="4D560950" w:rsidR="000B2CEE" w:rsidRDefault="00DC0ADF" w:rsidP="00A14719">
      <w:pPr>
        <w:pStyle w:val="ListParagraph"/>
        <w:spacing w:after="0" w:line="240" w:lineRule="auto"/>
        <w:ind w:left="0"/>
        <w:jc w:val="both"/>
        <w:rPr>
          <w:rFonts w:eastAsia="Times New Roman" w:cstheme="minorHAnsi"/>
          <w:szCs w:val="24"/>
          <w:lang w:eastAsia="en-GB"/>
        </w:rPr>
      </w:pPr>
      <w:r w:rsidRPr="00A14719">
        <w:rPr>
          <w:rFonts w:eastAsia="Times New Roman" w:cstheme="minorHAnsi"/>
          <w:szCs w:val="24"/>
          <w:lang w:eastAsia="en-GB"/>
        </w:rPr>
        <w:t xml:space="preserve">GNI per capita provides information on the income status of a country. GNI is equal to the gross domestic product (GDP) less </w:t>
      </w:r>
      <w:r w:rsidR="00483FC6" w:rsidRPr="00A14719">
        <w:rPr>
          <w:rFonts w:eastAsia="Times New Roman" w:cstheme="minorHAnsi"/>
          <w:szCs w:val="24"/>
          <w:lang w:eastAsia="en-GB"/>
        </w:rPr>
        <w:t>primary incomes payable to non-</w:t>
      </w:r>
      <w:r w:rsidRPr="00A14719">
        <w:rPr>
          <w:rFonts w:eastAsia="Times New Roman" w:cstheme="minorHAnsi"/>
          <w:szCs w:val="24"/>
          <w:lang w:eastAsia="en-GB"/>
        </w:rPr>
        <w:t>resident units plus primary incomes receivable from non-resident units. The GNI measure used by the CDP is expressed in current United States Dollars. Values are expressed in current United States dollars, calculated according to the World Bank Atlas method and reflect an unweighted average of three years (2011, 2012 and 2013 in the case of the 2015 triennial review).</w:t>
      </w:r>
    </w:p>
    <w:p w14:paraId="4BBE842D" w14:textId="77777777" w:rsidR="000B2CEE" w:rsidRDefault="000B2CEE" w:rsidP="00A14719">
      <w:pPr>
        <w:pStyle w:val="ListParagraph"/>
        <w:spacing w:after="0" w:line="240" w:lineRule="auto"/>
        <w:ind w:left="0"/>
        <w:jc w:val="both"/>
        <w:rPr>
          <w:rFonts w:eastAsia="Times New Roman" w:cstheme="minorHAnsi"/>
          <w:szCs w:val="24"/>
          <w:lang w:eastAsia="en-GB"/>
        </w:rPr>
      </w:pPr>
    </w:p>
    <w:p w14:paraId="29862ACA" w14:textId="1A8CCBC2" w:rsidR="006753D2" w:rsidRPr="006753D2" w:rsidRDefault="00DC0ADF" w:rsidP="00A14719">
      <w:pPr>
        <w:pStyle w:val="ListParagraph"/>
        <w:spacing w:after="0" w:line="240" w:lineRule="auto"/>
        <w:ind w:left="0"/>
        <w:rPr>
          <w:lang w:eastAsia="en-GB"/>
        </w:rPr>
      </w:pPr>
      <w:r w:rsidRPr="00A14719">
        <w:rPr>
          <w:rFonts w:eastAsia="Times New Roman" w:cstheme="minorHAnsi"/>
          <w:szCs w:val="24"/>
          <w:lang w:eastAsia="en-GB"/>
        </w:rPr>
        <w:t xml:space="preserve">The indicator is calculated by the United Nations Department for Economic and Social Affairs (UNDESA) Statistics Division </w:t>
      </w:r>
      <w:proofErr w:type="gramStart"/>
      <w:r w:rsidRPr="00A14719">
        <w:rPr>
          <w:rFonts w:eastAsia="Times New Roman" w:cstheme="minorHAnsi"/>
          <w:szCs w:val="24"/>
          <w:lang w:eastAsia="en-GB"/>
        </w:rPr>
        <w:t>on the basis of</w:t>
      </w:r>
      <w:proofErr w:type="gramEnd"/>
      <w:r w:rsidRPr="00A14719">
        <w:rPr>
          <w:rFonts w:eastAsia="Times New Roman" w:cstheme="minorHAnsi"/>
          <w:szCs w:val="24"/>
          <w:lang w:eastAsia="en-GB"/>
        </w:rPr>
        <w:t xml:space="preserve"> its National Account Main Aggregates Database</w:t>
      </w:r>
      <w:r w:rsidRPr="00BE773E">
        <w:rPr>
          <w:rStyle w:val="FootnoteReference"/>
          <w:rFonts w:eastAsia="Times New Roman" w:cstheme="minorHAnsi"/>
          <w:szCs w:val="24"/>
          <w:lang w:eastAsia="en-GB"/>
        </w:rPr>
        <w:footnoteReference w:id="1"/>
      </w:r>
      <w:r w:rsidRPr="00A14719">
        <w:rPr>
          <w:rFonts w:eastAsia="Times New Roman" w:cstheme="minorHAnsi"/>
          <w:szCs w:val="24"/>
          <w:lang w:eastAsia="en-GB"/>
        </w:rPr>
        <w:t xml:space="preserve"> and data of the relative weights of currencies in the Special Drawing Rights (SDR) by the International Monetary Fund. </w:t>
      </w:r>
      <w:r w:rsidR="00483FC6" w:rsidRPr="00A14719">
        <w:rPr>
          <w:rFonts w:eastAsia="Times New Roman" w:cstheme="minorHAnsi"/>
          <w:b/>
          <w:i/>
          <w:szCs w:val="24"/>
          <w:lang w:eastAsia="en-GB"/>
        </w:rPr>
        <w:t>Accordingly,</w:t>
      </w:r>
      <w:r w:rsidRPr="00A14719">
        <w:rPr>
          <w:rFonts w:eastAsia="Times New Roman" w:cstheme="minorHAnsi"/>
          <w:b/>
          <w:i/>
          <w:szCs w:val="24"/>
          <w:lang w:eastAsia="en-GB"/>
        </w:rPr>
        <w:t xml:space="preserve"> the average GNI in Lao PDR for the period 2011-2013 was calculated by UNDESA at $1</w:t>
      </w:r>
      <w:r w:rsidR="00446792" w:rsidRPr="00A14719">
        <w:rPr>
          <w:rFonts w:eastAsia="Times New Roman" w:cstheme="minorHAnsi"/>
          <w:b/>
          <w:i/>
          <w:szCs w:val="24"/>
          <w:lang w:eastAsia="en-GB"/>
        </w:rPr>
        <w:t>,</w:t>
      </w:r>
      <w:r w:rsidRPr="00A14719">
        <w:rPr>
          <w:rFonts w:eastAsia="Times New Roman" w:cstheme="minorHAnsi"/>
          <w:b/>
          <w:i/>
          <w:szCs w:val="24"/>
          <w:lang w:eastAsia="en-GB"/>
        </w:rPr>
        <w:t>232 per capita.</w:t>
      </w:r>
    </w:p>
    <w:p w14:paraId="3DEBEFCC" w14:textId="77777777" w:rsidR="006753D2" w:rsidRDefault="006753D2" w:rsidP="00A14719">
      <w:pPr>
        <w:pStyle w:val="ListParagraph"/>
        <w:spacing w:after="0" w:line="240" w:lineRule="auto"/>
        <w:ind w:left="0"/>
        <w:jc w:val="both"/>
        <w:rPr>
          <w:lang w:val="en-US"/>
        </w:rPr>
      </w:pPr>
    </w:p>
    <w:p w14:paraId="086E5A44" w14:textId="2671918B" w:rsidR="006753D2" w:rsidRDefault="00DC0ADF" w:rsidP="00A14719">
      <w:pPr>
        <w:pStyle w:val="ListParagraph"/>
        <w:spacing w:after="0" w:line="240" w:lineRule="auto"/>
        <w:ind w:left="0"/>
        <w:jc w:val="both"/>
        <w:rPr>
          <w:lang w:val="en-US"/>
        </w:rPr>
      </w:pPr>
      <w:r w:rsidRPr="006753D2">
        <w:rPr>
          <w:lang w:val="en-US"/>
        </w:rPr>
        <w:t>As of 2015</w:t>
      </w:r>
      <w:r w:rsidR="00A4143E" w:rsidRPr="006753D2">
        <w:rPr>
          <w:lang w:val="en-US"/>
        </w:rPr>
        <w:t xml:space="preserve">, </w:t>
      </w:r>
      <w:r w:rsidRPr="006753D2">
        <w:rPr>
          <w:lang w:val="en-US"/>
        </w:rPr>
        <w:t xml:space="preserve">the GNI threshold to be included into the LDC category is of USD 1,035. To graduate from the LDC category, GNI must be of 20% higher than the inclusion threshold, meaning at least USD 1,242 as of 2015, and to meet a second criterion. It is also possible to graduate from the LDC category on an income-only basis, if the country presents a GNI of at least twice the amount of the normal graduation threshold. </w:t>
      </w:r>
      <w:r w:rsidR="00483FC6" w:rsidRPr="006753D2">
        <w:rPr>
          <w:lang w:val="en-US"/>
        </w:rPr>
        <w:t>Thus,</w:t>
      </w:r>
      <w:r w:rsidRPr="006753D2">
        <w:rPr>
          <w:lang w:val="en-US"/>
        </w:rPr>
        <w:t xml:space="preserve"> a country presenting a GNI per capita of USD 2,484 or higher would be eligible for graduation even if it does not meet the HAI and EVI criteria. </w:t>
      </w:r>
    </w:p>
    <w:p w14:paraId="4D02AD98" w14:textId="77777777" w:rsidR="00182F32" w:rsidRDefault="00182F32" w:rsidP="00A14719">
      <w:pPr>
        <w:pStyle w:val="ListParagraph"/>
        <w:spacing w:after="0" w:line="240" w:lineRule="auto"/>
        <w:ind w:left="0"/>
        <w:jc w:val="both"/>
        <w:rPr>
          <w:lang w:val="en-US"/>
        </w:rPr>
      </w:pPr>
    </w:p>
    <w:p w14:paraId="0C0EB335" w14:textId="77777777" w:rsidR="00182F32" w:rsidRDefault="00182F32" w:rsidP="00A14719">
      <w:pPr>
        <w:pStyle w:val="ListParagraph"/>
        <w:spacing w:after="0" w:line="240" w:lineRule="auto"/>
        <w:ind w:left="0"/>
        <w:jc w:val="both"/>
        <w:rPr>
          <w:lang w:val="en-US"/>
        </w:rPr>
      </w:pPr>
    </w:p>
    <w:p w14:paraId="65B40CF0" w14:textId="77777777" w:rsidR="000F10E1" w:rsidRDefault="000F10E1" w:rsidP="00A14719">
      <w:pPr>
        <w:pStyle w:val="ListParagraph"/>
        <w:spacing w:after="0" w:line="240" w:lineRule="auto"/>
        <w:ind w:left="0"/>
        <w:jc w:val="both"/>
        <w:rPr>
          <w:lang w:val="en-US"/>
        </w:rPr>
      </w:pPr>
    </w:p>
    <w:p w14:paraId="229FC6AE" w14:textId="77777777" w:rsidR="00182F32" w:rsidRDefault="00182F32" w:rsidP="00A14719">
      <w:pPr>
        <w:pStyle w:val="ListParagraph"/>
        <w:spacing w:after="0" w:line="240" w:lineRule="auto"/>
        <w:ind w:left="0"/>
        <w:jc w:val="both"/>
        <w:rPr>
          <w:lang w:val="en-US"/>
        </w:rPr>
      </w:pPr>
    </w:p>
    <w:p w14:paraId="1B5FF157" w14:textId="6D04321B" w:rsidR="00235950" w:rsidRPr="00A14719" w:rsidRDefault="002F1FB3" w:rsidP="00A14719">
      <w:pPr>
        <w:spacing w:after="0" w:line="240" w:lineRule="auto"/>
        <w:rPr>
          <w:b/>
          <w:sz w:val="24"/>
          <w:lang w:val="en-US"/>
        </w:rPr>
      </w:pPr>
      <w:r w:rsidRPr="00A14719">
        <w:rPr>
          <w:b/>
          <w:sz w:val="24"/>
          <w:lang w:val="en-US"/>
        </w:rPr>
        <w:lastRenderedPageBreak/>
        <w:t>1.2</w:t>
      </w:r>
      <w:r w:rsidR="00E24F30" w:rsidRPr="00A14719">
        <w:rPr>
          <w:b/>
          <w:sz w:val="24"/>
          <w:lang w:val="en-US"/>
        </w:rPr>
        <w:t xml:space="preserve"> Human Assets Index (</w:t>
      </w:r>
      <w:r w:rsidR="00235950" w:rsidRPr="00A14719">
        <w:rPr>
          <w:b/>
          <w:sz w:val="24"/>
          <w:lang w:val="en-US"/>
        </w:rPr>
        <w:t>HAI</w:t>
      </w:r>
      <w:r w:rsidR="00E24F30" w:rsidRPr="00A14719">
        <w:rPr>
          <w:b/>
          <w:sz w:val="24"/>
          <w:lang w:val="en-US"/>
        </w:rPr>
        <w:t>)</w:t>
      </w:r>
    </w:p>
    <w:p w14:paraId="40C388D9" w14:textId="6DE95796" w:rsidR="000F10E1" w:rsidRDefault="00235950" w:rsidP="00A14719">
      <w:pPr>
        <w:spacing w:after="0" w:line="240" w:lineRule="auto"/>
        <w:jc w:val="both"/>
        <w:rPr>
          <w:lang w:val="en-US"/>
        </w:rPr>
      </w:pPr>
      <w:r>
        <w:rPr>
          <w:lang w:val="en-US"/>
        </w:rPr>
        <w:t xml:space="preserve">The Human Asset Index assesses the human capital of a country. It is an aggregated index of </w:t>
      </w:r>
      <w:r w:rsidR="00483FC6">
        <w:rPr>
          <w:lang w:val="en-US"/>
        </w:rPr>
        <w:t>four equally weighted criteria</w:t>
      </w:r>
      <w:r w:rsidR="00B53B78">
        <w:rPr>
          <w:lang w:val="en-US"/>
        </w:rPr>
        <w:t xml:space="preserve"> as per Figure 1</w:t>
      </w:r>
      <w:r w:rsidR="00483FC6">
        <w:rPr>
          <w:lang w:val="en-US"/>
        </w:rPr>
        <w:t xml:space="preserve">. </w:t>
      </w:r>
      <w:r>
        <w:rPr>
          <w:lang w:val="en-US"/>
        </w:rPr>
        <w:t xml:space="preserve">Each </w:t>
      </w:r>
      <w:r w:rsidR="00483FC6">
        <w:rPr>
          <w:lang w:val="en-US"/>
        </w:rPr>
        <w:t>criterion</w:t>
      </w:r>
      <w:r>
        <w:rPr>
          <w:lang w:val="en-US"/>
        </w:rPr>
        <w:t xml:space="preserve"> and the composite index of HAI are measured according to a min-max procedure</w:t>
      </w:r>
      <w:r w:rsidR="00483FC6">
        <w:rPr>
          <w:lang w:val="en-US"/>
        </w:rPr>
        <w:t>.</w:t>
      </w:r>
      <w:r>
        <w:rPr>
          <w:lang w:val="en-US"/>
        </w:rPr>
        <w:t xml:space="preserve"> </w:t>
      </w:r>
      <w:r w:rsidR="00483FC6">
        <w:rPr>
          <w:lang w:val="en-US"/>
        </w:rPr>
        <w:t>Accordingly,</w:t>
      </w:r>
      <w:r>
        <w:rPr>
          <w:lang w:val="en-US"/>
        </w:rPr>
        <w:t xml:space="preserve"> the HAI is a value comprised between 0 and 100 and the higher the index, the better. As of 2015 the inclusion threshold was set at 60, while the graduation threshold was of 66. </w:t>
      </w:r>
      <w:r w:rsidR="00BF76EB" w:rsidRPr="00A14719">
        <w:rPr>
          <w:b/>
          <w:i/>
          <w:lang w:val="en-US"/>
        </w:rPr>
        <w:t>HAI for Laos as reviewed in 2015 is 60.8</w:t>
      </w:r>
      <w:r w:rsidR="000F10E1">
        <w:rPr>
          <w:lang w:val="en-US"/>
        </w:rPr>
        <w:t>.</w:t>
      </w:r>
    </w:p>
    <w:p w14:paraId="309EAB82" w14:textId="77777777" w:rsidR="00B53B78" w:rsidRDefault="00B53B78" w:rsidP="00A14719">
      <w:pPr>
        <w:spacing w:after="0" w:line="240" w:lineRule="auto"/>
        <w:jc w:val="both"/>
        <w:rPr>
          <w:lang w:val="en-US"/>
        </w:rPr>
      </w:pPr>
    </w:p>
    <w:p w14:paraId="055D2317" w14:textId="77777777" w:rsidR="00227FE9" w:rsidRDefault="00227FE9" w:rsidP="00A14719">
      <w:pPr>
        <w:spacing w:after="0" w:line="240" w:lineRule="auto"/>
        <w:jc w:val="both"/>
        <w:rPr>
          <w:lang w:val="en-US"/>
        </w:rPr>
      </w:pPr>
    </w:p>
    <w:p w14:paraId="09CFC28C" w14:textId="6117CE38" w:rsidR="00227FE9" w:rsidRPr="00A14719" w:rsidRDefault="00227FE9" w:rsidP="00A14719">
      <w:pPr>
        <w:spacing w:after="0" w:line="240" w:lineRule="auto"/>
        <w:jc w:val="both"/>
        <w:rPr>
          <w:b/>
          <w:sz w:val="24"/>
          <w:szCs w:val="24"/>
          <w:lang w:val="en-US"/>
        </w:rPr>
      </w:pPr>
      <w:r w:rsidRPr="00A14719">
        <w:rPr>
          <w:b/>
          <w:sz w:val="24"/>
          <w:szCs w:val="24"/>
          <w:lang w:val="en-US"/>
        </w:rPr>
        <w:t xml:space="preserve">Figure 1 - Composition of HAI </w:t>
      </w:r>
    </w:p>
    <w:p w14:paraId="02673B39" w14:textId="3514F2D9" w:rsidR="00227FE9" w:rsidRDefault="00227FE9" w:rsidP="00A14719">
      <w:pPr>
        <w:spacing w:after="0" w:line="240" w:lineRule="auto"/>
        <w:jc w:val="both"/>
        <w:rPr>
          <w:lang w:val="en-US"/>
        </w:rPr>
      </w:pPr>
      <w:r>
        <w:rPr>
          <w:b/>
          <w:noProof/>
          <w:sz w:val="28"/>
          <w:lang w:eastAsia="en-GB"/>
        </w:rPr>
        <w:drawing>
          <wp:inline distT="0" distB="0" distL="0" distR="0" wp14:anchorId="7FB53F60" wp14:editId="5EE847C3">
            <wp:extent cx="5403215" cy="432054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AI.jpg"/>
                    <pic:cNvPicPr/>
                  </pic:nvPicPr>
                  <pic:blipFill>
                    <a:blip r:embed="rId8">
                      <a:extLst>
                        <a:ext uri="{28A0092B-C50C-407E-A947-70E740481C1C}">
                          <a14:useLocalDpi xmlns:a14="http://schemas.microsoft.com/office/drawing/2010/main" val="0"/>
                        </a:ext>
                      </a:extLst>
                    </a:blip>
                    <a:stretch>
                      <a:fillRect/>
                    </a:stretch>
                  </pic:blipFill>
                  <pic:spPr>
                    <a:xfrm>
                      <a:off x="0" y="0"/>
                      <a:ext cx="5457519" cy="4363963"/>
                    </a:xfrm>
                    <a:prstGeom prst="rect">
                      <a:avLst/>
                    </a:prstGeom>
                  </pic:spPr>
                </pic:pic>
              </a:graphicData>
            </a:graphic>
          </wp:inline>
        </w:drawing>
      </w:r>
    </w:p>
    <w:p w14:paraId="6A901894" w14:textId="77777777" w:rsidR="00235950" w:rsidRDefault="00235950" w:rsidP="00A14719">
      <w:pPr>
        <w:spacing w:after="0" w:line="240" w:lineRule="auto"/>
        <w:jc w:val="both"/>
        <w:rPr>
          <w:lang w:val="en-US"/>
        </w:rPr>
      </w:pPr>
    </w:p>
    <w:p w14:paraId="69B176F1" w14:textId="77777777" w:rsidR="00182F32" w:rsidRDefault="00182F32" w:rsidP="00A14719">
      <w:pPr>
        <w:spacing w:after="0" w:line="240" w:lineRule="auto"/>
        <w:jc w:val="both"/>
        <w:rPr>
          <w:lang w:val="en-US"/>
        </w:rPr>
      </w:pPr>
    </w:p>
    <w:p w14:paraId="350BDEB3" w14:textId="3713F8B7" w:rsidR="00235950" w:rsidRPr="00A14719" w:rsidRDefault="002F1FB3" w:rsidP="00A14719">
      <w:pPr>
        <w:spacing w:after="0" w:line="240" w:lineRule="auto"/>
        <w:jc w:val="both"/>
        <w:rPr>
          <w:b/>
          <w:sz w:val="24"/>
          <w:lang w:val="en-US"/>
        </w:rPr>
      </w:pPr>
      <w:r w:rsidRPr="00A14719">
        <w:rPr>
          <w:b/>
          <w:sz w:val="24"/>
          <w:lang w:val="en-US"/>
        </w:rPr>
        <w:t xml:space="preserve">1.3 </w:t>
      </w:r>
      <w:r w:rsidR="00BF76EB">
        <w:rPr>
          <w:b/>
          <w:sz w:val="24"/>
          <w:lang w:val="en-US"/>
        </w:rPr>
        <w:t>Economic Vulnerability Index (</w:t>
      </w:r>
      <w:r w:rsidR="00235950" w:rsidRPr="00A14719">
        <w:rPr>
          <w:b/>
          <w:sz w:val="24"/>
          <w:lang w:val="en-US"/>
        </w:rPr>
        <w:t>EVI</w:t>
      </w:r>
      <w:r w:rsidR="00BF76EB">
        <w:rPr>
          <w:b/>
          <w:sz w:val="24"/>
          <w:lang w:val="en-US"/>
        </w:rPr>
        <w:t>)</w:t>
      </w:r>
    </w:p>
    <w:p w14:paraId="236B5950" w14:textId="1391875E" w:rsidR="00235950" w:rsidRDefault="00235950" w:rsidP="00A14719">
      <w:pPr>
        <w:spacing w:after="0" w:line="240" w:lineRule="auto"/>
        <w:jc w:val="both"/>
        <w:rPr>
          <w:lang w:val="en-US"/>
        </w:rPr>
      </w:pPr>
      <w:r>
        <w:rPr>
          <w:lang w:val="en-US"/>
        </w:rPr>
        <w:t>As the HAI, the Economic Vulnerability Index is a composite index made of several indicators which are all measured and aggregated using the same min-max procedure as for the HAI but with different weights by indicator</w:t>
      </w:r>
      <w:r w:rsidR="00BF76EB">
        <w:rPr>
          <w:lang w:val="en-US"/>
        </w:rPr>
        <w:t xml:space="preserve">. Please refer to Figure 2 for a composition of EVI. </w:t>
      </w:r>
    </w:p>
    <w:p w14:paraId="00936067" w14:textId="77777777" w:rsidR="00286895" w:rsidRDefault="00286895" w:rsidP="00A14719">
      <w:pPr>
        <w:spacing w:after="0" w:line="240" w:lineRule="auto"/>
        <w:jc w:val="both"/>
        <w:rPr>
          <w:lang w:val="en-US"/>
        </w:rPr>
      </w:pPr>
    </w:p>
    <w:p w14:paraId="694F2244" w14:textId="5102EF39" w:rsidR="00227FE9" w:rsidRPr="00A14719" w:rsidRDefault="00483FC6" w:rsidP="00A14719">
      <w:pPr>
        <w:spacing w:after="0" w:line="240" w:lineRule="auto"/>
        <w:jc w:val="both"/>
        <w:rPr>
          <w:b/>
          <w:i/>
          <w:lang w:val="en-US"/>
        </w:rPr>
      </w:pPr>
      <w:r>
        <w:rPr>
          <w:lang w:val="en-US"/>
        </w:rPr>
        <w:t>Likewise,</w:t>
      </w:r>
      <w:r w:rsidR="00235950">
        <w:rPr>
          <w:lang w:val="en-US"/>
        </w:rPr>
        <w:t xml:space="preserve"> the EVI value is also comprised between 0 and 100, but in contrast to HAI</w:t>
      </w:r>
      <w:r w:rsidR="0002776C">
        <w:rPr>
          <w:lang w:val="en-US"/>
        </w:rPr>
        <w:t>,</w:t>
      </w:r>
      <w:r w:rsidR="00235950">
        <w:rPr>
          <w:lang w:val="en-US"/>
        </w:rPr>
        <w:t xml:space="preserve"> EVI indicators assess the economic and agricultural vulnerability of a country and therefore higher the EVI, greater the vulnerability and worst the situation of the country. As of 2015 the inclusion threshold for EVI was set at 36, while its graduation threshold was of 32.</w:t>
      </w:r>
      <w:r w:rsidR="000B2CEE">
        <w:rPr>
          <w:lang w:val="en-US"/>
        </w:rPr>
        <w:t xml:space="preserve"> </w:t>
      </w:r>
      <w:r w:rsidR="000B2CEE" w:rsidRPr="00A14719">
        <w:rPr>
          <w:b/>
          <w:i/>
          <w:lang w:val="en-US"/>
        </w:rPr>
        <w:t xml:space="preserve">EVI for Lao PDR as reviewed in 2015 is 36.2. </w:t>
      </w:r>
    </w:p>
    <w:p w14:paraId="11CE24EF" w14:textId="77777777" w:rsidR="00227FE9" w:rsidRDefault="00227FE9" w:rsidP="00A14719">
      <w:pPr>
        <w:spacing w:after="0" w:line="240" w:lineRule="auto"/>
        <w:jc w:val="both"/>
        <w:rPr>
          <w:lang w:val="en-US"/>
        </w:rPr>
      </w:pPr>
    </w:p>
    <w:p w14:paraId="241144C8" w14:textId="77777777" w:rsidR="00B22C47" w:rsidRDefault="00B22C47" w:rsidP="00A14719">
      <w:pPr>
        <w:spacing w:after="0" w:line="240" w:lineRule="auto"/>
        <w:jc w:val="both"/>
        <w:rPr>
          <w:lang w:val="en-US"/>
        </w:rPr>
      </w:pPr>
    </w:p>
    <w:p w14:paraId="49E29D88" w14:textId="77777777" w:rsidR="000F10E1" w:rsidRDefault="000F10E1" w:rsidP="00A14719">
      <w:pPr>
        <w:spacing w:after="0" w:line="240" w:lineRule="auto"/>
        <w:jc w:val="both"/>
        <w:rPr>
          <w:lang w:val="en-US"/>
        </w:rPr>
      </w:pPr>
    </w:p>
    <w:p w14:paraId="45887184" w14:textId="77777777" w:rsidR="00B22C47" w:rsidRDefault="00B22C47" w:rsidP="00A14719">
      <w:pPr>
        <w:spacing w:after="0" w:line="240" w:lineRule="auto"/>
        <w:jc w:val="both"/>
        <w:rPr>
          <w:lang w:val="en-US"/>
        </w:rPr>
      </w:pPr>
    </w:p>
    <w:p w14:paraId="2C6BB214" w14:textId="07A84C8B" w:rsidR="00227FE9" w:rsidRPr="00A14719" w:rsidRDefault="000B2CEE" w:rsidP="00A14719">
      <w:pPr>
        <w:spacing w:after="0" w:line="240" w:lineRule="auto"/>
        <w:jc w:val="both"/>
        <w:rPr>
          <w:b/>
          <w:sz w:val="24"/>
          <w:szCs w:val="24"/>
          <w:lang w:val="en-US"/>
        </w:rPr>
      </w:pPr>
      <w:r w:rsidRPr="00A14719">
        <w:rPr>
          <w:b/>
          <w:sz w:val="24"/>
          <w:szCs w:val="24"/>
          <w:lang w:val="en-US"/>
        </w:rPr>
        <w:t xml:space="preserve">Figure 2 – Composition of EVI </w:t>
      </w:r>
    </w:p>
    <w:p w14:paraId="3A9B6728" w14:textId="7EB4077E" w:rsidR="00227FE9" w:rsidRDefault="00227FE9" w:rsidP="00A14719">
      <w:pPr>
        <w:spacing w:after="0" w:line="240" w:lineRule="auto"/>
        <w:jc w:val="both"/>
        <w:rPr>
          <w:lang w:val="en-US"/>
        </w:rPr>
      </w:pPr>
      <w:r>
        <w:rPr>
          <w:b/>
          <w:noProof/>
          <w:sz w:val="24"/>
          <w:lang w:eastAsia="en-GB"/>
        </w:rPr>
        <w:drawing>
          <wp:inline distT="0" distB="0" distL="0" distR="0" wp14:anchorId="5B90681B" wp14:editId="5F27F37B">
            <wp:extent cx="5474312" cy="5361940"/>
            <wp:effectExtent l="0" t="0" r="1270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VI.jpg"/>
                    <pic:cNvPicPr/>
                  </pic:nvPicPr>
                  <pic:blipFill>
                    <a:blip r:embed="rId9">
                      <a:extLst>
                        <a:ext uri="{28A0092B-C50C-407E-A947-70E740481C1C}">
                          <a14:useLocalDpi xmlns:a14="http://schemas.microsoft.com/office/drawing/2010/main" val="0"/>
                        </a:ext>
                      </a:extLst>
                    </a:blip>
                    <a:stretch>
                      <a:fillRect/>
                    </a:stretch>
                  </pic:blipFill>
                  <pic:spPr>
                    <a:xfrm>
                      <a:off x="0" y="0"/>
                      <a:ext cx="5500624" cy="5387712"/>
                    </a:xfrm>
                    <a:prstGeom prst="rect">
                      <a:avLst/>
                    </a:prstGeom>
                  </pic:spPr>
                </pic:pic>
              </a:graphicData>
            </a:graphic>
          </wp:inline>
        </w:drawing>
      </w:r>
    </w:p>
    <w:p w14:paraId="169015C7" w14:textId="77777777" w:rsidR="00F752B3" w:rsidRDefault="00F752B3" w:rsidP="00A14719">
      <w:pPr>
        <w:spacing w:after="0" w:line="240" w:lineRule="auto"/>
        <w:jc w:val="both"/>
        <w:rPr>
          <w:lang w:val="en-US"/>
        </w:rPr>
      </w:pPr>
    </w:p>
    <w:p w14:paraId="1015EEFE" w14:textId="77777777" w:rsidR="00182F32" w:rsidRDefault="00182F32" w:rsidP="00A14719">
      <w:pPr>
        <w:spacing w:after="0" w:line="240" w:lineRule="auto"/>
        <w:jc w:val="both"/>
        <w:rPr>
          <w:lang w:val="en-US"/>
        </w:rPr>
      </w:pPr>
    </w:p>
    <w:p w14:paraId="1410DED7" w14:textId="77777777" w:rsidR="00182F32" w:rsidRPr="00C85369" w:rsidRDefault="00182F32" w:rsidP="00A14719">
      <w:pPr>
        <w:spacing w:after="0" w:line="240" w:lineRule="auto"/>
        <w:jc w:val="both"/>
        <w:rPr>
          <w:lang w:val="en-US"/>
        </w:rPr>
      </w:pPr>
    </w:p>
    <w:p w14:paraId="30A03B60" w14:textId="11D2D905" w:rsidR="00483FC6" w:rsidRPr="00A14719" w:rsidRDefault="002F1FB3" w:rsidP="00A14719">
      <w:pPr>
        <w:tabs>
          <w:tab w:val="left" w:pos="1200"/>
        </w:tabs>
        <w:spacing w:after="0" w:line="240" w:lineRule="auto"/>
        <w:jc w:val="both"/>
        <w:rPr>
          <w:b/>
          <w:sz w:val="24"/>
          <w:szCs w:val="24"/>
        </w:rPr>
      </w:pPr>
      <w:r w:rsidRPr="00A14719">
        <w:rPr>
          <w:b/>
          <w:sz w:val="24"/>
          <w:szCs w:val="24"/>
        </w:rPr>
        <w:t xml:space="preserve">1.4 </w:t>
      </w:r>
      <w:r w:rsidR="00483FC6" w:rsidRPr="00A14719">
        <w:rPr>
          <w:b/>
          <w:sz w:val="24"/>
          <w:szCs w:val="24"/>
        </w:rPr>
        <w:t xml:space="preserve">Graduation Criteria </w:t>
      </w:r>
    </w:p>
    <w:p w14:paraId="7BD12E7B" w14:textId="33C095CA" w:rsidR="00452962" w:rsidRPr="00A14719" w:rsidRDefault="00CB109C" w:rsidP="00A14719">
      <w:pPr>
        <w:tabs>
          <w:tab w:val="left" w:pos="1200"/>
        </w:tabs>
        <w:spacing w:after="0" w:line="240" w:lineRule="auto"/>
        <w:jc w:val="both"/>
        <w:rPr>
          <w:b/>
        </w:rPr>
      </w:pPr>
      <w:proofErr w:type="gramStart"/>
      <w:r>
        <w:t>In order to</w:t>
      </w:r>
      <w:proofErr w:type="gramEnd"/>
      <w:r>
        <w:t xml:space="preserve"> graduate from LDC status, t</w:t>
      </w:r>
      <w:r w:rsidR="00533A88">
        <w:t>he Graduation threshold must be met for two of the three criteria</w:t>
      </w:r>
      <w:r>
        <w:t>.</w:t>
      </w:r>
      <w:r w:rsidR="001B69D6">
        <w:t xml:space="preserve"> </w:t>
      </w:r>
      <w:r w:rsidR="00533A88">
        <w:t>Alternatively, per capita GNI should be at least twice the graduation threshold.</w:t>
      </w:r>
      <w:r w:rsidR="00533A88" w:rsidRPr="00533A88">
        <w:t xml:space="preserve"> </w:t>
      </w:r>
      <w:r w:rsidR="00533A88">
        <w:t xml:space="preserve">Eligibility for graduation </w:t>
      </w:r>
      <w:proofErr w:type="gramStart"/>
      <w:r w:rsidR="00533A88">
        <w:t>has to</w:t>
      </w:r>
      <w:proofErr w:type="gramEnd"/>
      <w:r w:rsidR="00533A88">
        <w:t xml:space="preserve"> be met at two consecutive triennial reviews. </w:t>
      </w:r>
      <w:r w:rsidR="006246A0" w:rsidRPr="00A14719">
        <w:rPr>
          <w:b/>
          <w:lang w:val="en-US"/>
        </w:rPr>
        <w:t xml:space="preserve">Once the country meets the criteria for the second time, then it can be recommended to ECOSOC for graduation to take place three years later, meaning six years after its first eligibility.  </w:t>
      </w:r>
      <w:r w:rsidR="00CE7340" w:rsidRPr="00A14719">
        <w:rPr>
          <w:b/>
        </w:rPr>
        <w:t xml:space="preserve">Lao PDR did not meet any of the thresholds in 2015. </w:t>
      </w:r>
      <w:r w:rsidR="00533A88" w:rsidRPr="00A14719">
        <w:rPr>
          <w:b/>
        </w:rPr>
        <w:t xml:space="preserve">The next triennial review is scheduled for 2018. </w:t>
      </w:r>
      <w:r w:rsidR="001B69D6" w:rsidRPr="00A14719">
        <w:rPr>
          <w:b/>
        </w:rPr>
        <w:t xml:space="preserve"> </w:t>
      </w:r>
    </w:p>
    <w:p w14:paraId="55DFDB75" w14:textId="77777777" w:rsidR="00633D74" w:rsidRPr="00A14719" w:rsidRDefault="00633D74" w:rsidP="00A14719">
      <w:pPr>
        <w:tabs>
          <w:tab w:val="left" w:pos="1200"/>
        </w:tabs>
        <w:spacing w:after="0" w:line="240" w:lineRule="auto"/>
        <w:jc w:val="both"/>
        <w:rPr>
          <w:b/>
        </w:rPr>
        <w:sectPr w:rsidR="00633D74" w:rsidRPr="00A14719" w:rsidSect="00A14719">
          <w:headerReference w:type="default" r:id="rId10"/>
          <w:footerReference w:type="even" r:id="rId11"/>
          <w:footerReference w:type="default" r:id="rId12"/>
          <w:headerReference w:type="first" r:id="rId13"/>
          <w:footerReference w:type="first" r:id="rId14"/>
          <w:pgSz w:w="12240" w:h="15840"/>
          <w:pgMar w:top="1104" w:right="1440" w:bottom="1752" w:left="1440" w:header="720" w:footer="720" w:gutter="0"/>
          <w:cols w:space="720"/>
          <w:docGrid w:linePitch="360"/>
        </w:sectPr>
      </w:pPr>
    </w:p>
    <w:p w14:paraId="22F10D36" w14:textId="66AFF845" w:rsidR="00452962" w:rsidRPr="00A14719" w:rsidRDefault="00446792" w:rsidP="00A14719">
      <w:pPr>
        <w:tabs>
          <w:tab w:val="left" w:pos="1200"/>
        </w:tabs>
        <w:spacing w:after="0" w:line="240" w:lineRule="auto"/>
        <w:jc w:val="both"/>
        <w:rPr>
          <w:sz w:val="28"/>
          <w:szCs w:val="28"/>
        </w:rPr>
      </w:pPr>
      <w:r w:rsidRPr="00A14719">
        <w:rPr>
          <w:b/>
          <w:sz w:val="28"/>
          <w:szCs w:val="28"/>
          <w:lang w:val="en-US"/>
        </w:rPr>
        <w:lastRenderedPageBreak/>
        <w:t xml:space="preserve">II. </w:t>
      </w:r>
      <w:r w:rsidR="00044014" w:rsidRPr="00A14719">
        <w:rPr>
          <w:b/>
          <w:sz w:val="28"/>
          <w:szCs w:val="28"/>
          <w:lang w:val="en-US"/>
        </w:rPr>
        <w:t xml:space="preserve">Overview of </w:t>
      </w:r>
      <w:r w:rsidR="00452962" w:rsidRPr="00A14719">
        <w:rPr>
          <w:b/>
          <w:sz w:val="28"/>
          <w:szCs w:val="28"/>
          <w:lang w:val="en-US"/>
        </w:rPr>
        <w:t>Lao PDR’s situation</w:t>
      </w:r>
      <w:r w:rsidR="001D75F6">
        <w:rPr>
          <w:b/>
          <w:sz w:val="28"/>
          <w:szCs w:val="28"/>
          <w:lang w:val="en-US"/>
        </w:rPr>
        <w:t xml:space="preserve"> for LDC graduation </w:t>
      </w:r>
    </w:p>
    <w:p w14:paraId="60EC41C4" w14:textId="77777777" w:rsidR="003A3D66" w:rsidRDefault="003A3D66" w:rsidP="00A14719">
      <w:pPr>
        <w:tabs>
          <w:tab w:val="left" w:pos="1200"/>
        </w:tabs>
        <w:spacing w:after="0" w:line="240" w:lineRule="auto"/>
        <w:jc w:val="both"/>
        <w:rPr>
          <w:b/>
          <w:sz w:val="24"/>
          <w:szCs w:val="24"/>
          <w:lang w:val="en-US"/>
        </w:rPr>
      </w:pPr>
    </w:p>
    <w:p w14:paraId="7F3E05C2" w14:textId="495F1D1A" w:rsidR="003A3D66" w:rsidRPr="00A14719" w:rsidRDefault="003A3D66" w:rsidP="00A14719">
      <w:pPr>
        <w:tabs>
          <w:tab w:val="left" w:pos="1200"/>
        </w:tabs>
        <w:spacing w:after="0" w:line="240" w:lineRule="auto"/>
        <w:jc w:val="both"/>
        <w:rPr>
          <w:b/>
          <w:sz w:val="24"/>
          <w:szCs w:val="24"/>
          <w:lang w:val="en-US"/>
        </w:rPr>
      </w:pPr>
      <w:r w:rsidRPr="00A14719">
        <w:rPr>
          <w:b/>
          <w:sz w:val="24"/>
          <w:szCs w:val="24"/>
          <w:lang w:val="en-US"/>
        </w:rPr>
        <w:t xml:space="preserve">2.1 </w:t>
      </w:r>
      <w:proofErr w:type="gramStart"/>
      <w:r w:rsidRPr="00A14719">
        <w:rPr>
          <w:b/>
          <w:sz w:val="24"/>
          <w:szCs w:val="24"/>
          <w:lang w:val="en-US"/>
        </w:rPr>
        <w:t>Current status</w:t>
      </w:r>
      <w:proofErr w:type="gramEnd"/>
      <w:r w:rsidRPr="00A14719">
        <w:rPr>
          <w:b/>
          <w:sz w:val="24"/>
          <w:szCs w:val="24"/>
          <w:lang w:val="en-US"/>
        </w:rPr>
        <w:t xml:space="preserve"> </w:t>
      </w:r>
    </w:p>
    <w:p w14:paraId="34057354" w14:textId="5A9E273E" w:rsidR="00017019" w:rsidRDefault="00452962" w:rsidP="00A14719">
      <w:pPr>
        <w:tabs>
          <w:tab w:val="left" w:pos="1200"/>
        </w:tabs>
        <w:spacing w:after="0" w:line="240" w:lineRule="auto"/>
        <w:jc w:val="both"/>
        <w:rPr>
          <w:lang w:val="en-US"/>
        </w:rPr>
      </w:pPr>
      <w:r>
        <w:rPr>
          <w:lang w:val="en-US"/>
        </w:rPr>
        <w:t xml:space="preserve">In </w:t>
      </w:r>
      <w:r w:rsidR="00044014">
        <w:rPr>
          <w:lang w:val="en-US"/>
        </w:rPr>
        <w:t>March 2015,</w:t>
      </w:r>
      <w:r>
        <w:rPr>
          <w:lang w:val="en-US"/>
        </w:rPr>
        <w:t xml:space="preserve"> the CDP conducted its triennial review of LDC countries. </w:t>
      </w:r>
      <w:r w:rsidRPr="00F97B01">
        <w:t>Lao PDR’s three-year average (2011-2013) GNI per capita was roughly US$1,232, about 99% of the threshold (US$1,242</w:t>
      </w:r>
      <w:r w:rsidR="005C0250">
        <w:t xml:space="preserve">). Its GNI per capita is </w:t>
      </w:r>
      <w:r w:rsidR="005C0250">
        <w:rPr>
          <w:lang w:val="en-US"/>
        </w:rPr>
        <w:t xml:space="preserve">projected to be substantially above the level in 2021, provided the threshold does not change significantly. </w:t>
      </w:r>
      <w:r>
        <w:rPr>
          <w:lang w:val="en-US"/>
        </w:rPr>
        <w:t xml:space="preserve">As </w:t>
      </w:r>
      <w:r w:rsidR="00FB701E">
        <w:rPr>
          <w:lang w:val="en-US"/>
        </w:rPr>
        <w:t>per</w:t>
      </w:r>
      <w:r>
        <w:rPr>
          <w:lang w:val="en-US"/>
        </w:rPr>
        <w:t xml:space="preserve"> </w:t>
      </w:r>
      <w:r w:rsidR="00FB701E">
        <w:rPr>
          <w:lang w:val="en-US"/>
        </w:rPr>
        <w:t>T</w:t>
      </w:r>
      <w:r>
        <w:rPr>
          <w:lang w:val="en-US"/>
        </w:rPr>
        <w:t>able 1, despite strong efforts</w:t>
      </w:r>
      <w:r w:rsidR="00FB701E">
        <w:rPr>
          <w:lang w:val="en-US"/>
        </w:rPr>
        <w:t>,</w:t>
      </w:r>
      <w:r>
        <w:rPr>
          <w:lang w:val="en-US"/>
        </w:rPr>
        <w:t xml:space="preserve"> Lao PDR did not meet any of the graduation thresholds during that review, even though it came very close to the GNI threshold. </w:t>
      </w:r>
    </w:p>
    <w:p w14:paraId="65FB2629" w14:textId="77777777" w:rsidR="00017019" w:rsidRDefault="00017019" w:rsidP="00A14719">
      <w:pPr>
        <w:tabs>
          <w:tab w:val="left" w:pos="1200"/>
        </w:tabs>
        <w:spacing w:after="0" w:line="240" w:lineRule="auto"/>
        <w:jc w:val="both"/>
        <w:rPr>
          <w:lang w:val="en-US"/>
        </w:rPr>
      </w:pPr>
    </w:p>
    <w:p w14:paraId="14949315" w14:textId="50263CE6" w:rsidR="00452962" w:rsidRPr="0028301E" w:rsidRDefault="00F752B3" w:rsidP="00A14719">
      <w:pPr>
        <w:tabs>
          <w:tab w:val="left" w:pos="1200"/>
        </w:tabs>
        <w:spacing w:after="0" w:line="240" w:lineRule="auto"/>
        <w:jc w:val="both"/>
        <w:rPr>
          <w:lang w:val="en-US"/>
        </w:rPr>
      </w:pPr>
      <w:r>
        <w:rPr>
          <w:lang w:val="en-US"/>
        </w:rPr>
        <w:t>However,</w:t>
      </w:r>
      <w:r w:rsidR="00452962">
        <w:rPr>
          <w:lang w:val="en-US"/>
        </w:rPr>
        <w:t xml:space="preserve"> given its progress and if efforts are sustained, </w:t>
      </w:r>
      <w:r w:rsidR="00233914" w:rsidRPr="00017019">
        <w:rPr>
          <w:lang w:val="en-US"/>
        </w:rPr>
        <w:t>as a projection by UNCTAD,</w:t>
      </w:r>
      <w:r w:rsidR="00233914" w:rsidRPr="00A14719">
        <w:rPr>
          <w:b/>
          <w:lang w:val="en-US"/>
        </w:rPr>
        <w:t xml:space="preserve"> </w:t>
      </w:r>
      <w:r w:rsidR="00452962" w:rsidRPr="00A14719">
        <w:rPr>
          <w:b/>
          <w:lang w:val="en-US"/>
        </w:rPr>
        <w:t xml:space="preserve">it is likely that Lao PDR might meet the graduation thresholds for at least two criteria, </w:t>
      </w:r>
      <w:r w:rsidR="00452962" w:rsidRPr="0028301E">
        <w:rPr>
          <w:lang w:val="en-US"/>
        </w:rPr>
        <w:t>if not the three at the 2018 triennial review.</w:t>
      </w:r>
      <w:r w:rsidR="005C0250" w:rsidRPr="0028301E">
        <w:rPr>
          <w:lang w:val="en-US"/>
        </w:rPr>
        <w:t xml:space="preserve"> </w:t>
      </w:r>
      <w:r w:rsidR="00452962" w:rsidRPr="0028301E">
        <w:rPr>
          <w:lang w:val="en-US"/>
        </w:rPr>
        <w:t>If so, the country would then need to still meet those same two criteria or more at the next review in 2021 to be recommended to ECOSOC for official graduation to be effective three years later, in 2024.</w:t>
      </w:r>
    </w:p>
    <w:p w14:paraId="17E32872" w14:textId="77777777" w:rsidR="00286895" w:rsidRDefault="00286895" w:rsidP="00A14719">
      <w:pPr>
        <w:tabs>
          <w:tab w:val="left" w:pos="1200"/>
        </w:tabs>
        <w:spacing w:after="0" w:line="240" w:lineRule="auto"/>
        <w:jc w:val="both"/>
        <w:rPr>
          <w:lang w:val="en-US"/>
        </w:rPr>
      </w:pPr>
    </w:p>
    <w:p w14:paraId="0D5E994E" w14:textId="77777777" w:rsidR="0047258D" w:rsidRPr="00A14719" w:rsidRDefault="0047258D" w:rsidP="0047258D">
      <w:pPr>
        <w:tabs>
          <w:tab w:val="left" w:pos="1200"/>
        </w:tabs>
        <w:spacing w:after="0" w:line="240" w:lineRule="auto"/>
        <w:jc w:val="both"/>
        <w:rPr>
          <w:b/>
          <w:sz w:val="24"/>
          <w:szCs w:val="24"/>
          <w:lang w:val="en-US"/>
        </w:rPr>
      </w:pPr>
      <w:r w:rsidRPr="00A14719">
        <w:rPr>
          <w:b/>
          <w:sz w:val="24"/>
          <w:szCs w:val="24"/>
          <w:lang w:val="en-US"/>
        </w:rPr>
        <w:t xml:space="preserve">Table 1 – Lao PDR’s position on the three criteria for LDG graduation as per the review in 2015 </w:t>
      </w:r>
    </w:p>
    <w:p w14:paraId="012BF73E" w14:textId="77777777" w:rsidR="0047258D" w:rsidRDefault="0047258D" w:rsidP="0047258D">
      <w:pPr>
        <w:tabs>
          <w:tab w:val="left" w:pos="1200"/>
        </w:tabs>
        <w:spacing w:after="0" w:line="240" w:lineRule="auto"/>
        <w:jc w:val="both"/>
        <w:rPr>
          <w:lang w:val="en-US"/>
        </w:rPr>
      </w:pPr>
    </w:p>
    <w:tbl>
      <w:tblPr>
        <w:tblStyle w:val="TableGrid"/>
        <w:tblW w:w="0" w:type="auto"/>
        <w:tblLook w:val="04A0" w:firstRow="1" w:lastRow="0" w:firstColumn="1" w:lastColumn="0" w:noHBand="0" w:noVBand="1"/>
      </w:tblPr>
      <w:tblGrid>
        <w:gridCol w:w="1558"/>
        <w:gridCol w:w="1272"/>
        <w:gridCol w:w="2268"/>
        <w:gridCol w:w="1418"/>
        <w:gridCol w:w="1417"/>
        <w:gridCol w:w="1417"/>
      </w:tblGrid>
      <w:tr w:rsidR="0047258D" w:rsidRPr="003943D1" w14:paraId="4F21E253" w14:textId="77777777" w:rsidTr="003943D1">
        <w:tc>
          <w:tcPr>
            <w:tcW w:w="1558" w:type="dxa"/>
            <w:shd w:val="clear" w:color="auto" w:fill="BFBFBF" w:themeFill="background1" w:themeFillShade="BF"/>
          </w:tcPr>
          <w:p w14:paraId="0EB8B7F4" w14:textId="77777777" w:rsidR="0047258D" w:rsidRPr="003943D1" w:rsidRDefault="0047258D" w:rsidP="003943D1">
            <w:pPr>
              <w:jc w:val="center"/>
              <w:rPr>
                <w:b/>
                <w:lang w:val="en-US"/>
              </w:rPr>
            </w:pPr>
            <w:r w:rsidRPr="003943D1">
              <w:rPr>
                <w:b/>
                <w:lang w:val="en-US"/>
              </w:rPr>
              <w:t>LDC Graduation Criteria</w:t>
            </w:r>
          </w:p>
        </w:tc>
        <w:tc>
          <w:tcPr>
            <w:tcW w:w="1272" w:type="dxa"/>
            <w:shd w:val="clear" w:color="auto" w:fill="BFBFBF" w:themeFill="background1" w:themeFillShade="BF"/>
          </w:tcPr>
          <w:p w14:paraId="5F75C87B" w14:textId="77777777" w:rsidR="0047258D" w:rsidRPr="003943D1" w:rsidRDefault="0047258D" w:rsidP="003943D1">
            <w:pPr>
              <w:jc w:val="center"/>
              <w:rPr>
                <w:b/>
                <w:lang w:val="en-US"/>
              </w:rPr>
            </w:pPr>
            <w:r w:rsidRPr="003943D1">
              <w:rPr>
                <w:b/>
                <w:lang w:val="en-US"/>
              </w:rPr>
              <w:t>2015 Inclusion Threshold</w:t>
            </w:r>
          </w:p>
        </w:tc>
        <w:tc>
          <w:tcPr>
            <w:tcW w:w="2268" w:type="dxa"/>
            <w:shd w:val="clear" w:color="auto" w:fill="BFBFBF" w:themeFill="background1" w:themeFillShade="BF"/>
          </w:tcPr>
          <w:p w14:paraId="44990EE8" w14:textId="77777777" w:rsidR="0047258D" w:rsidRPr="003943D1" w:rsidRDefault="0047258D" w:rsidP="003943D1">
            <w:pPr>
              <w:jc w:val="center"/>
              <w:rPr>
                <w:b/>
                <w:lang w:val="en-US"/>
              </w:rPr>
            </w:pPr>
            <w:r w:rsidRPr="003943D1">
              <w:rPr>
                <w:b/>
                <w:lang w:val="en-US"/>
              </w:rPr>
              <w:t>2015 Graduation Threshold</w:t>
            </w:r>
          </w:p>
        </w:tc>
        <w:tc>
          <w:tcPr>
            <w:tcW w:w="1418" w:type="dxa"/>
            <w:shd w:val="clear" w:color="auto" w:fill="BFBFBF" w:themeFill="background1" w:themeFillShade="BF"/>
          </w:tcPr>
          <w:p w14:paraId="3EDDB1F3" w14:textId="77777777" w:rsidR="0047258D" w:rsidRPr="003943D1" w:rsidRDefault="0047258D" w:rsidP="003943D1">
            <w:pPr>
              <w:jc w:val="center"/>
              <w:rPr>
                <w:b/>
                <w:lang w:val="en-US"/>
              </w:rPr>
            </w:pPr>
            <w:r w:rsidRPr="003943D1">
              <w:rPr>
                <w:b/>
                <w:lang w:val="en-US"/>
              </w:rPr>
              <w:t>Lao PDR 2012 CPD Review</w:t>
            </w:r>
          </w:p>
        </w:tc>
        <w:tc>
          <w:tcPr>
            <w:tcW w:w="1417" w:type="dxa"/>
            <w:shd w:val="clear" w:color="auto" w:fill="BFBFBF" w:themeFill="background1" w:themeFillShade="BF"/>
          </w:tcPr>
          <w:p w14:paraId="5A007EAF" w14:textId="77777777" w:rsidR="0047258D" w:rsidRPr="003943D1" w:rsidRDefault="0047258D" w:rsidP="003943D1">
            <w:pPr>
              <w:jc w:val="center"/>
              <w:rPr>
                <w:b/>
                <w:lang w:val="en-US"/>
              </w:rPr>
            </w:pPr>
            <w:r w:rsidRPr="003943D1">
              <w:rPr>
                <w:b/>
                <w:lang w:val="en-US"/>
              </w:rPr>
              <w:t>Lao PDR 2015 CPD Review</w:t>
            </w:r>
          </w:p>
        </w:tc>
        <w:tc>
          <w:tcPr>
            <w:tcW w:w="1417" w:type="dxa"/>
            <w:shd w:val="clear" w:color="auto" w:fill="BFBFBF" w:themeFill="background1" w:themeFillShade="BF"/>
          </w:tcPr>
          <w:p w14:paraId="6008DD62" w14:textId="77777777" w:rsidR="0047258D" w:rsidRPr="003943D1" w:rsidRDefault="0047258D" w:rsidP="003943D1">
            <w:pPr>
              <w:jc w:val="center"/>
              <w:rPr>
                <w:b/>
                <w:lang w:val="en-US"/>
              </w:rPr>
            </w:pPr>
            <w:r w:rsidRPr="003943D1">
              <w:rPr>
                <w:b/>
                <w:lang w:val="en-US"/>
              </w:rPr>
              <w:t>% of the LDC Graduation Threshold</w:t>
            </w:r>
          </w:p>
        </w:tc>
      </w:tr>
      <w:tr w:rsidR="0047258D" w14:paraId="4228431D" w14:textId="77777777" w:rsidTr="003943D1">
        <w:tc>
          <w:tcPr>
            <w:tcW w:w="1558" w:type="dxa"/>
          </w:tcPr>
          <w:p w14:paraId="61F46F4E" w14:textId="77777777" w:rsidR="0047258D" w:rsidRPr="003943D1" w:rsidRDefault="0047258D" w:rsidP="003943D1">
            <w:pPr>
              <w:jc w:val="both"/>
              <w:rPr>
                <w:lang w:val="en-US"/>
              </w:rPr>
            </w:pPr>
            <w:r w:rsidRPr="003943D1">
              <w:rPr>
                <w:lang w:val="en-US"/>
              </w:rPr>
              <w:t xml:space="preserve">GNI per capita </w:t>
            </w:r>
          </w:p>
        </w:tc>
        <w:tc>
          <w:tcPr>
            <w:tcW w:w="1272" w:type="dxa"/>
          </w:tcPr>
          <w:p w14:paraId="795EE56A" w14:textId="77777777" w:rsidR="0047258D" w:rsidRDefault="0047258D" w:rsidP="003943D1">
            <w:pPr>
              <w:jc w:val="center"/>
              <w:rPr>
                <w:lang w:val="en-US"/>
              </w:rPr>
            </w:pPr>
            <w:r>
              <w:rPr>
                <w:lang w:val="en-US"/>
              </w:rPr>
              <w:t>1,035</w:t>
            </w:r>
          </w:p>
        </w:tc>
        <w:tc>
          <w:tcPr>
            <w:tcW w:w="2268" w:type="dxa"/>
          </w:tcPr>
          <w:p w14:paraId="48940ACB" w14:textId="77777777" w:rsidR="0047258D" w:rsidRDefault="0047258D" w:rsidP="003943D1">
            <w:pPr>
              <w:jc w:val="center"/>
              <w:rPr>
                <w:lang w:val="en-US"/>
              </w:rPr>
            </w:pPr>
            <w:r>
              <w:rPr>
                <w:lang w:val="en-US"/>
              </w:rPr>
              <w:t>1,242 (Inclusion+20%)</w:t>
            </w:r>
          </w:p>
        </w:tc>
        <w:tc>
          <w:tcPr>
            <w:tcW w:w="1418" w:type="dxa"/>
          </w:tcPr>
          <w:p w14:paraId="726EEE2D" w14:textId="77777777" w:rsidR="0047258D" w:rsidRDefault="0047258D" w:rsidP="003943D1">
            <w:pPr>
              <w:jc w:val="center"/>
              <w:rPr>
                <w:lang w:val="en-US"/>
              </w:rPr>
            </w:pPr>
            <w:r>
              <w:rPr>
                <w:lang w:val="en-US"/>
              </w:rPr>
              <w:t>1,460 (2013)</w:t>
            </w:r>
          </w:p>
        </w:tc>
        <w:tc>
          <w:tcPr>
            <w:tcW w:w="1417" w:type="dxa"/>
          </w:tcPr>
          <w:p w14:paraId="24B42BC9" w14:textId="77777777" w:rsidR="0047258D" w:rsidRDefault="0047258D" w:rsidP="003943D1">
            <w:pPr>
              <w:jc w:val="center"/>
              <w:rPr>
                <w:lang w:val="en-US"/>
              </w:rPr>
            </w:pPr>
            <w:r>
              <w:rPr>
                <w:lang w:val="en-US"/>
              </w:rPr>
              <w:t>1,232</w:t>
            </w:r>
          </w:p>
        </w:tc>
        <w:tc>
          <w:tcPr>
            <w:tcW w:w="1417" w:type="dxa"/>
          </w:tcPr>
          <w:p w14:paraId="2F00862D" w14:textId="77777777" w:rsidR="0047258D" w:rsidRDefault="0047258D" w:rsidP="003943D1">
            <w:pPr>
              <w:jc w:val="center"/>
              <w:rPr>
                <w:lang w:val="en-US"/>
              </w:rPr>
            </w:pPr>
            <w:r>
              <w:rPr>
                <w:lang w:val="en-US"/>
              </w:rPr>
              <w:t>99%</w:t>
            </w:r>
          </w:p>
        </w:tc>
      </w:tr>
      <w:tr w:rsidR="0047258D" w14:paraId="77640D7E" w14:textId="77777777" w:rsidTr="003943D1">
        <w:tc>
          <w:tcPr>
            <w:tcW w:w="1558" w:type="dxa"/>
          </w:tcPr>
          <w:p w14:paraId="1DA3966A" w14:textId="77777777" w:rsidR="0047258D" w:rsidRDefault="0047258D" w:rsidP="003943D1">
            <w:pPr>
              <w:jc w:val="both"/>
              <w:rPr>
                <w:lang w:val="en-US"/>
              </w:rPr>
            </w:pPr>
            <w:r>
              <w:rPr>
                <w:lang w:val="en-US"/>
              </w:rPr>
              <w:t xml:space="preserve">HAI </w:t>
            </w:r>
          </w:p>
        </w:tc>
        <w:tc>
          <w:tcPr>
            <w:tcW w:w="1272" w:type="dxa"/>
          </w:tcPr>
          <w:p w14:paraId="27CE230C" w14:textId="77777777" w:rsidR="0047258D" w:rsidRDefault="0047258D" w:rsidP="003943D1">
            <w:pPr>
              <w:jc w:val="center"/>
              <w:rPr>
                <w:lang w:val="en-US"/>
              </w:rPr>
            </w:pPr>
            <w:r>
              <w:rPr>
                <w:lang w:val="en-US"/>
              </w:rPr>
              <w:t>60</w:t>
            </w:r>
          </w:p>
        </w:tc>
        <w:tc>
          <w:tcPr>
            <w:tcW w:w="2268" w:type="dxa"/>
          </w:tcPr>
          <w:p w14:paraId="2A23423A" w14:textId="77777777" w:rsidR="0047258D" w:rsidRDefault="0047258D" w:rsidP="003943D1">
            <w:pPr>
              <w:jc w:val="center"/>
              <w:rPr>
                <w:lang w:val="en-US"/>
              </w:rPr>
            </w:pPr>
            <w:r>
              <w:rPr>
                <w:lang w:val="en-US"/>
              </w:rPr>
              <w:t>66</w:t>
            </w:r>
          </w:p>
        </w:tc>
        <w:tc>
          <w:tcPr>
            <w:tcW w:w="1418" w:type="dxa"/>
          </w:tcPr>
          <w:p w14:paraId="25B06DC2" w14:textId="77777777" w:rsidR="0047258D" w:rsidRDefault="0047258D" w:rsidP="003943D1">
            <w:pPr>
              <w:jc w:val="center"/>
              <w:rPr>
                <w:lang w:val="en-US"/>
              </w:rPr>
            </w:pPr>
            <w:r>
              <w:rPr>
                <w:lang w:val="en-US"/>
              </w:rPr>
              <w:t>61.4</w:t>
            </w:r>
          </w:p>
        </w:tc>
        <w:tc>
          <w:tcPr>
            <w:tcW w:w="1417" w:type="dxa"/>
          </w:tcPr>
          <w:p w14:paraId="7C6F7846" w14:textId="77777777" w:rsidR="0047258D" w:rsidRDefault="0047258D" w:rsidP="003943D1">
            <w:pPr>
              <w:jc w:val="center"/>
              <w:rPr>
                <w:lang w:val="en-US"/>
              </w:rPr>
            </w:pPr>
            <w:r>
              <w:rPr>
                <w:lang w:val="en-US"/>
              </w:rPr>
              <w:t>60.8</w:t>
            </w:r>
          </w:p>
        </w:tc>
        <w:tc>
          <w:tcPr>
            <w:tcW w:w="1417" w:type="dxa"/>
          </w:tcPr>
          <w:p w14:paraId="5B661C99" w14:textId="77777777" w:rsidR="0047258D" w:rsidRDefault="0047258D" w:rsidP="003943D1">
            <w:pPr>
              <w:jc w:val="center"/>
              <w:rPr>
                <w:lang w:val="en-US"/>
              </w:rPr>
            </w:pPr>
            <w:r>
              <w:rPr>
                <w:lang w:val="en-US"/>
              </w:rPr>
              <w:t>92%</w:t>
            </w:r>
          </w:p>
        </w:tc>
      </w:tr>
      <w:tr w:rsidR="0047258D" w14:paraId="0E3EFA7D" w14:textId="77777777" w:rsidTr="003943D1">
        <w:tc>
          <w:tcPr>
            <w:tcW w:w="1558" w:type="dxa"/>
          </w:tcPr>
          <w:p w14:paraId="54669AE6" w14:textId="77777777" w:rsidR="0047258D" w:rsidRDefault="0047258D" w:rsidP="003943D1">
            <w:pPr>
              <w:jc w:val="both"/>
              <w:rPr>
                <w:lang w:val="en-US"/>
              </w:rPr>
            </w:pPr>
            <w:r>
              <w:rPr>
                <w:lang w:val="en-US"/>
              </w:rPr>
              <w:t>EVI</w:t>
            </w:r>
          </w:p>
        </w:tc>
        <w:tc>
          <w:tcPr>
            <w:tcW w:w="1272" w:type="dxa"/>
          </w:tcPr>
          <w:p w14:paraId="7F515AC5" w14:textId="77777777" w:rsidR="0047258D" w:rsidRDefault="0047258D" w:rsidP="003943D1">
            <w:pPr>
              <w:jc w:val="center"/>
              <w:rPr>
                <w:lang w:val="en-US"/>
              </w:rPr>
            </w:pPr>
            <w:r>
              <w:rPr>
                <w:lang w:val="en-US"/>
              </w:rPr>
              <w:t>36</w:t>
            </w:r>
          </w:p>
        </w:tc>
        <w:tc>
          <w:tcPr>
            <w:tcW w:w="2268" w:type="dxa"/>
          </w:tcPr>
          <w:p w14:paraId="6F142303" w14:textId="77777777" w:rsidR="0047258D" w:rsidRDefault="0047258D" w:rsidP="003943D1">
            <w:pPr>
              <w:jc w:val="center"/>
              <w:rPr>
                <w:lang w:val="en-US"/>
              </w:rPr>
            </w:pPr>
            <w:r>
              <w:rPr>
                <w:lang w:val="en-US"/>
              </w:rPr>
              <w:t>32</w:t>
            </w:r>
          </w:p>
        </w:tc>
        <w:tc>
          <w:tcPr>
            <w:tcW w:w="1418" w:type="dxa"/>
          </w:tcPr>
          <w:p w14:paraId="72901635" w14:textId="77777777" w:rsidR="0047258D" w:rsidRDefault="0047258D" w:rsidP="003943D1">
            <w:pPr>
              <w:jc w:val="center"/>
              <w:rPr>
                <w:lang w:val="en-US"/>
              </w:rPr>
            </w:pPr>
            <w:r>
              <w:rPr>
                <w:lang w:val="en-US"/>
              </w:rPr>
              <w:t>37.1</w:t>
            </w:r>
          </w:p>
        </w:tc>
        <w:tc>
          <w:tcPr>
            <w:tcW w:w="1417" w:type="dxa"/>
          </w:tcPr>
          <w:p w14:paraId="1CB0F3A8" w14:textId="77777777" w:rsidR="0047258D" w:rsidRDefault="0047258D" w:rsidP="003943D1">
            <w:pPr>
              <w:jc w:val="center"/>
              <w:rPr>
                <w:lang w:val="en-US"/>
              </w:rPr>
            </w:pPr>
            <w:r>
              <w:rPr>
                <w:lang w:val="en-US"/>
              </w:rPr>
              <w:t>36.2</w:t>
            </w:r>
          </w:p>
        </w:tc>
        <w:tc>
          <w:tcPr>
            <w:tcW w:w="1417" w:type="dxa"/>
          </w:tcPr>
          <w:p w14:paraId="4B802602" w14:textId="77777777" w:rsidR="0047258D" w:rsidRDefault="0047258D" w:rsidP="003943D1">
            <w:pPr>
              <w:jc w:val="center"/>
              <w:rPr>
                <w:lang w:val="en-US"/>
              </w:rPr>
            </w:pPr>
            <w:r>
              <w:rPr>
                <w:lang w:val="en-US"/>
              </w:rPr>
              <w:t>87%</w:t>
            </w:r>
          </w:p>
        </w:tc>
      </w:tr>
    </w:tbl>
    <w:p w14:paraId="5F35CEBA" w14:textId="77777777" w:rsidR="00D87016" w:rsidRDefault="00D87016" w:rsidP="00A14719">
      <w:pPr>
        <w:tabs>
          <w:tab w:val="left" w:pos="1200"/>
        </w:tabs>
        <w:spacing w:after="0" w:line="240" w:lineRule="auto"/>
        <w:jc w:val="both"/>
        <w:rPr>
          <w:lang w:val="en-US"/>
        </w:rPr>
      </w:pPr>
    </w:p>
    <w:p w14:paraId="50E0B5D9" w14:textId="49F75144" w:rsidR="00F97B01" w:rsidRPr="00A14719" w:rsidRDefault="00F752B3" w:rsidP="00A14719">
      <w:pPr>
        <w:tabs>
          <w:tab w:val="left" w:pos="1200"/>
        </w:tabs>
        <w:spacing w:after="0" w:line="240" w:lineRule="auto"/>
        <w:jc w:val="both"/>
      </w:pPr>
      <w:r>
        <w:rPr>
          <w:lang w:val="en-US"/>
        </w:rPr>
        <w:t>As for the HAI and EVI</w:t>
      </w:r>
      <w:r w:rsidR="00233914">
        <w:rPr>
          <w:lang w:val="en-US"/>
        </w:rPr>
        <w:t>,</w:t>
      </w:r>
      <w:r>
        <w:rPr>
          <w:lang w:val="en-US"/>
        </w:rPr>
        <w:t xml:space="preserve"> the figures presented</w:t>
      </w:r>
      <w:r w:rsidR="00233914">
        <w:rPr>
          <w:lang w:val="en-US"/>
        </w:rPr>
        <w:t xml:space="preserve"> under Table 1,</w:t>
      </w:r>
      <w:r>
        <w:rPr>
          <w:lang w:val="en-US"/>
        </w:rPr>
        <w:t xml:space="preserve"> are those from the last 2012 triennial review, when the country would not have met the 2015 eligibility threshold for graduation. </w:t>
      </w:r>
      <w:r w:rsidR="00366E91">
        <w:t xml:space="preserve">In 2015, Lao PDR’s HAI value </w:t>
      </w:r>
      <w:r w:rsidR="00366E91" w:rsidRPr="00366E91">
        <w:t>was about 92% of the LDC graduation threshold. An ana</w:t>
      </w:r>
      <w:r w:rsidR="00366E91">
        <w:t xml:space="preserve">lysis of marginal contributions </w:t>
      </w:r>
      <w:r w:rsidR="00366E91" w:rsidRPr="00366E91">
        <w:t xml:space="preserve">of individual components of the HAI </w:t>
      </w:r>
      <w:r w:rsidR="00096C1D">
        <w:t xml:space="preserve">(Figure 3) </w:t>
      </w:r>
      <w:r w:rsidR="00366E91" w:rsidRPr="00366E91">
        <w:t xml:space="preserve">shows that </w:t>
      </w:r>
      <w:r w:rsidR="00366E91" w:rsidRPr="00A14719">
        <w:rPr>
          <w:b/>
        </w:rPr>
        <w:t>a maximum increase in the HAI would occur if</w:t>
      </w:r>
      <w:r w:rsidR="00C23FB9">
        <w:t xml:space="preserve"> </w:t>
      </w:r>
      <w:r w:rsidR="00366E91" w:rsidRPr="00366E91">
        <w:t xml:space="preserve">the </w:t>
      </w:r>
      <w:r w:rsidR="00366E91" w:rsidRPr="00A14719">
        <w:rPr>
          <w:b/>
        </w:rPr>
        <w:t>nutritional status</w:t>
      </w:r>
      <w:r w:rsidR="00366E91" w:rsidRPr="00366E91">
        <w:t xml:space="preserve"> of the population were to </w:t>
      </w:r>
      <w:r w:rsidR="00366E91" w:rsidRPr="00A14719">
        <w:rPr>
          <w:b/>
        </w:rPr>
        <w:t>increase</w:t>
      </w:r>
      <w:r w:rsidR="00366E91" w:rsidRPr="00366E91">
        <w:t>,</w:t>
      </w:r>
      <w:r w:rsidR="00C23FB9">
        <w:t xml:space="preserve"> </w:t>
      </w:r>
      <w:r w:rsidR="00366E91" w:rsidRPr="00366E91">
        <w:t xml:space="preserve">followed by </w:t>
      </w:r>
      <w:r w:rsidR="00366E91" w:rsidRPr="00A14719">
        <w:rPr>
          <w:b/>
        </w:rPr>
        <w:t>an increase in the literacy rate</w:t>
      </w:r>
      <w:r w:rsidR="00366E91" w:rsidRPr="00366E91">
        <w:t xml:space="preserve">, then </w:t>
      </w:r>
      <w:r w:rsidR="00366E91" w:rsidRPr="00A14719">
        <w:rPr>
          <w:b/>
        </w:rPr>
        <w:t>an increase in secondary school enrolment</w:t>
      </w:r>
      <w:r w:rsidR="00366E91">
        <w:t xml:space="preserve"> and, lastly, </w:t>
      </w:r>
      <w:r w:rsidR="00366E91" w:rsidRPr="00A14719">
        <w:rPr>
          <w:b/>
        </w:rPr>
        <w:t>a reduction in Under-5 mortality rate</w:t>
      </w:r>
      <w:r w:rsidR="00366E91">
        <w:t>.</w:t>
      </w:r>
      <w:r w:rsidR="00096C1D">
        <w:t xml:space="preserve">  </w:t>
      </w:r>
    </w:p>
    <w:p w14:paraId="30E611BB" w14:textId="77777777" w:rsidR="00286895" w:rsidRDefault="00286895" w:rsidP="00A14719">
      <w:pPr>
        <w:tabs>
          <w:tab w:val="left" w:pos="1200"/>
        </w:tabs>
        <w:spacing w:after="0" w:line="240" w:lineRule="auto"/>
        <w:jc w:val="both"/>
      </w:pPr>
    </w:p>
    <w:p w14:paraId="2C5B80DA" w14:textId="09FAAF4E" w:rsidR="0047258D" w:rsidRPr="00A14719" w:rsidRDefault="00096C1D" w:rsidP="00A14719">
      <w:pPr>
        <w:tabs>
          <w:tab w:val="left" w:pos="1200"/>
        </w:tabs>
        <w:spacing w:after="0" w:line="240" w:lineRule="auto"/>
        <w:jc w:val="both"/>
        <w:rPr>
          <w:b/>
          <w:sz w:val="24"/>
          <w:szCs w:val="24"/>
        </w:rPr>
      </w:pPr>
      <w:r w:rsidRPr="00A14719">
        <w:rPr>
          <w:b/>
          <w:sz w:val="24"/>
          <w:szCs w:val="24"/>
        </w:rPr>
        <w:t>Figure</w:t>
      </w:r>
      <w:r w:rsidR="008829F1" w:rsidRPr="00A14719">
        <w:rPr>
          <w:b/>
          <w:sz w:val="24"/>
          <w:szCs w:val="24"/>
        </w:rPr>
        <w:t xml:space="preserve"> 3</w:t>
      </w:r>
      <w:r w:rsidR="0047258D" w:rsidRPr="00A14719">
        <w:rPr>
          <w:b/>
          <w:sz w:val="24"/>
          <w:szCs w:val="24"/>
        </w:rPr>
        <w:t xml:space="preserve"> </w:t>
      </w:r>
      <w:r w:rsidR="00FA433C" w:rsidRPr="00A14719">
        <w:rPr>
          <w:b/>
          <w:sz w:val="24"/>
          <w:szCs w:val="24"/>
        </w:rPr>
        <w:t>– Lao PDR’s position on four aspects of the HAI as per the review in 2015</w:t>
      </w:r>
    </w:p>
    <w:p w14:paraId="4CE0F109" w14:textId="06A60554" w:rsidR="0047258D" w:rsidRDefault="0047258D" w:rsidP="00A14719">
      <w:pPr>
        <w:tabs>
          <w:tab w:val="left" w:pos="1200"/>
        </w:tabs>
        <w:spacing w:after="0" w:line="240" w:lineRule="auto"/>
        <w:jc w:val="both"/>
      </w:pPr>
      <w:r>
        <w:rPr>
          <w:noProof/>
          <w:lang w:eastAsia="en-GB"/>
        </w:rPr>
        <w:drawing>
          <wp:inline distT="0" distB="0" distL="0" distR="0" wp14:anchorId="2A2715E6" wp14:editId="52DEEB1B">
            <wp:extent cx="6172835" cy="2724150"/>
            <wp:effectExtent l="0" t="0" r="0" b="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1462C63B" w14:textId="77777777" w:rsidR="0047258D" w:rsidRDefault="0047258D" w:rsidP="00A14719">
      <w:pPr>
        <w:tabs>
          <w:tab w:val="left" w:pos="1200"/>
        </w:tabs>
        <w:spacing w:after="0" w:line="240" w:lineRule="auto"/>
        <w:jc w:val="both"/>
      </w:pPr>
    </w:p>
    <w:p w14:paraId="3E4A424E" w14:textId="7895CE8B" w:rsidR="008829F1" w:rsidRDefault="00366E91" w:rsidP="00A14719">
      <w:pPr>
        <w:tabs>
          <w:tab w:val="left" w:pos="1200"/>
        </w:tabs>
        <w:spacing w:after="0" w:line="240" w:lineRule="auto"/>
        <w:jc w:val="both"/>
      </w:pPr>
      <w:r w:rsidRPr="00A14719">
        <w:rPr>
          <w:b/>
        </w:rPr>
        <w:lastRenderedPageBreak/>
        <w:t>Lao PDR needs to give immediate attention to reducing its economic vulnerability.</w:t>
      </w:r>
      <w:r>
        <w:t xml:space="preserve"> </w:t>
      </w:r>
      <w:r w:rsidRPr="000F10E1">
        <w:t xml:space="preserve">A decomposition analysis of </w:t>
      </w:r>
      <w:r w:rsidR="00452962" w:rsidRPr="000F10E1">
        <w:t xml:space="preserve">the </w:t>
      </w:r>
      <w:r w:rsidRPr="000F10E1">
        <w:t xml:space="preserve">EVI </w:t>
      </w:r>
      <w:r w:rsidR="00096C1D">
        <w:t xml:space="preserve">(Figure 4) </w:t>
      </w:r>
      <w:r w:rsidRPr="000F10E1">
        <w:t xml:space="preserve">shows that </w:t>
      </w:r>
      <w:r w:rsidRPr="00A14719">
        <w:rPr>
          <w:b/>
        </w:rPr>
        <w:t xml:space="preserve">economic diversification </w:t>
      </w:r>
      <w:r w:rsidRPr="000F10E1">
        <w:t xml:space="preserve">and </w:t>
      </w:r>
      <w:r w:rsidRPr="00A14719">
        <w:rPr>
          <w:b/>
        </w:rPr>
        <w:t>reducing the exposure of the population to natural disasters</w:t>
      </w:r>
      <w:r w:rsidRPr="000F10E1">
        <w:t xml:space="preserve"> are critical for lowering the EVI value. Universal social protection</w:t>
      </w:r>
      <w:r>
        <w:t xml:space="preserve"> is vitally important to protect human development gains from shocks and misfortunes. A good starting point is to urgently consider the recommendations of the Assessment-Based National Dialogue on Social Protection carried out under the oversight of the Government’s Drafting Committee for the National Social Protection Strategy.</w:t>
      </w:r>
      <w:r w:rsidR="005C0250">
        <w:t xml:space="preserve"> </w:t>
      </w:r>
    </w:p>
    <w:p w14:paraId="11591A53" w14:textId="77777777" w:rsidR="008829F1" w:rsidRDefault="008829F1" w:rsidP="00A14719">
      <w:pPr>
        <w:tabs>
          <w:tab w:val="left" w:pos="1200"/>
        </w:tabs>
        <w:spacing w:after="0" w:line="240" w:lineRule="auto"/>
        <w:jc w:val="both"/>
      </w:pPr>
    </w:p>
    <w:p w14:paraId="1D070180" w14:textId="042FD930" w:rsidR="00286895" w:rsidRPr="00A14719" w:rsidRDefault="008829F1" w:rsidP="00A14719">
      <w:pPr>
        <w:tabs>
          <w:tab w:val="left" w:pos="1200"/>
        </w:tabs>
        <w:spacing w:after="0" w:line="240" w:lineRule="auto"/>
        <w:jc w:val="both"/>
        <w:rPr>
          <w:b/>
          <w:sz w:val="24"/>
          <w:szCs w:val="24"/>
          <w:lang w:val="en-US"/>
        </w:rPr>
      </w:pPr>
      <w:r w:rsidRPr="00A14719">
        <w:rPr>
          <w:b/>
          <w:sz w:val="24"/>
          <w:szCs w:val="24"/>
        </w:rPr>
        <w:t>Figure 4</w:t>
      </w:r>
      <w:r w:rsidR="00FA433C" w:rsidRPr="00A14719">
        <w:rPr>
          <w:b/>
          <w:sz w:val="24"/>
          <w:szCs w:val="24"/>
        </w:rPr>
        <w:t xml:space="preserve"> – Lao PDR’s position on fight aspects of EVI as per the review in 2015</w:t>
      </w:r>
    </w:p>
    <w:p w14:paraId="598E14FA" w14:textId="77777777" w:rsidR="00286895" w:rsidRDefault="00286895" w:rsidP="00A14719">
      <w:pPr>
        <w:tabs>
          <w:tab w:val="left" w:pos="1200"/>
        </w:tabs>
        <w:spacing w:after="0" w:line="240" w:lineRule="auto"/>
        <w:jc w:val="both"/>
        <w:rPr>
          <w:lang w:val="en-US"/>
        </w:rPr>
      </w:pPr>
    </w:p>
    <w:p w14:paraId="6748B149" w14:textId="384401A8" w:rsidR="00483FC6" w:rsidRDefault="006D179C" w:rsidP="00A14719">
      <w:pPr>
        <w:spacing w:after="0" w:line="240" w:lineRule="auto"/>
        <w:jc w:val="both"/>
        <w:rPr>
          <w:lang w:val="en-US"/>
        </w:rPr>
      </w:pPr>
      <w:r w:rsidRPr="00A14719">
        <w:rPr>
          <w:b/>
          <w:noProof/>
          <w:lang w:eastAsia="en-GB"/>
        </w:rPr>
        <w:drawing>
          <wp:inline distT="0" distB="0" distL="0" distR="0" wp14:anchorId="12EFBED8" wp14:editId="126CD2F8">
            <wp:extent cx="6452235" cy="4228888"/>
            <wp:effectExtent l="0" t="0" r="0" b="19685"/>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3024DAA2" w14:textId="77777777" w:rsidR="00FA433C" w:rsidRDefault="00FA433C" w:rsidP="00A14719">
      <w:pPr>
        <w:spacing w:after="0" w:line="240" w:lineRule="auto"/>
        <w:jc w:val="both"/>
        <w:rPr>
          <w:lang w:val="en-US"/>
        </w:rPr>
      </w:pPr>
    </w:p>
    <w:p w14:paraId="0E990AF8" w14:textId="77777777" w:rsidR="00FA433C" w:rsidRDefault="00FA433C" w:rsidP="00A14719">
      <w:pPr>
        <w:spacing w:after="0" w:line="240" w:lineRule="auto"/>
        <w:jc w:val="both"/>
        <w:rPr>
          <w:lang w:val="en-US"/>
        </w:rPr>
      </w:pPr>
    </w:p>
    <w:p w14:paraId="14E8437F" w14:textId="24005EED" w:rsidR="00874390" w:rsidRDefault="00483FC6" w:rsidP="00A14719">
      <w:pPr>
        <w:spacing w:after="0" w:line="240" w:lineRule="auto"/>
        <w:jc w:val="both"/>
        <w:rPr>
          <w:lang w:val="en-US"/>
        </w:rPr>
      </w:pPr>
      <w:r w:rsidRPr="00A14719">
        <w:rPr>
          <w:b/>
          <w:lang w:val="en-US"/>
        </w:rPr>
        <w:t>In any case</w:t>
      </w:r>
      <w:r w:rsidR="00874390" w:rsidRPr="00A14719">
        <w:rPr>
          <w:b/>
          <w:lang w:val="en-US"/>
        </w:rPr>
        <w:t>,</w:t>
      </w:r>
      <w:r w:rsidRPr="00A14719">
        <w:rPr>
          <w:b/>
          <w:lang w:val="en-US"/>
        </w:rPr>
        <w:t xml:space="preserve"> eligibility to graduation does not remove all vulnerabilities that used to make Lao PDR an LDC.</w:t>
      </w:r>
      <w:r>
        <w:rPr>
          <w:lang w:val="en-US"/>
        </w:rPr>
        <w:t xml:space="preserve"> Therefore</w:t>
      </w:r>
      <w:r w:rsidR="00874390">
        <w:rPr>
          <w:lang w:val="en-US"/>
        </w:rPr>
        <w:t>,</w:t>
      </w:r>
      <w:r>
        <w:rPr>
          <w:lang w:val="en-US"/>
        </w:rPr>
        <w:t xml:space="preserve"> whether the country is eligible or not, it is very important to keep working on reinforcing </w:t>
      </w:r>
      <w:proofErr w:type="gramStart"/>
      <w:r>
        <w:rPr>
          <w:lang w:val="en-US"/>
        </w:rPr>
        <w:t>all of</w:t>
      </w:r>
      <w:proofErr w:type="gramEnd"/>
      <w:r>
        <w:rPr>
          <w:lang w:val="en-US"/>
        </w:rPr>
        <w:t xml:space="preserve"> those criteria in order for its vulnerabilities to </w:t>
      </w:r>
      <w:r w:rsidR="001D75F6">
        <w:rPr>
          <w:lang w:val="en-US"/>
        </w:rPr>
        <w:t>be reduced</w:t>
      </w:r>
      <w:r>
        <w:rPr>
          <w:lang w:val="en-US"/>
        </w:rPr>
        <w:t xml:space="preserve">, its development to be sustainable and LDC graduation to occur smoothly. </w:t>
      </w:r>
    </w:p>
    <w:p w14:paraId="0F2C4116" w14:textId="77777777" w:rsidR="00874390" w:rsidRDefault="00874390" w:rsidP="00A14719">
      <w:pPr>
        <w:spacing w:after="0" w:line="240" w:lineRule="auto"/>
        <w:jc w:val="both"/>
        <w:rPr>
          <w:lang w:val="en-US"/>
        </w:rPr>
      </w:pPr>
    </w:p>
    <w:p w14:paraId="6E3BB177" w14:textId="2D722618" w:rsidR="00533A88" w:rsidRDefault="00483FC6" w:rsidP="00A14719">
      <w:pPr>
        <w:spacing w:after="0" w:line="240" w:lineRule="auto"/>
        <w:jc w:val="both"/>
        <w:rPr>
          <w:lang w:val="en-US"/>
        </w:rPr>
      </w:pPr>
      <w:r w:rsidRPr="00A14719">
        <w:rPr>
          <w:b/>
          <w:lang w:val="en-US"/>
        </w:rPr>
        <w:t>Preparation to transition is a long-term work that needs great attention</w:t>
      </w:r>
      <w:r>
        <w:rPr>
          <w:lang w:val="en-US"/>
        </w:rPr>
        <w:t>, which is why the inclusion of LDC graduation as the main objective of the 8</w:t>
      </w:r>
      <w:r w:rsidRPr="002C2E89">
        <w:rPr>
          <w:vertAlign w:val="superscript"/>
          <w:lang w:val="en-US"/>
        </w:rPr>
        <w:t>th</w:t>
      </w:r>
      <w:r>
        <w:rPr>
          <w:lang w:val="en-US"/>
        </w:rPr>
        <w:t xml:space="preserve"> National Socio-Economic Plan of Lao PDR for the period 2016-2020 makes most sense. It will allow working towards sustainably and inclusively graduating from LDC status as a joint national effort in which all development partners will also take part.</w:t>
      </w:r>
    </w:p>
    <w:p w14:paraId="14607751" w14:textId="77777777" w:rsidR="00117C0B" w:rsidRDefault="00117C0B" w:rsidP="00A14719">
      <w:pPr>
        <w:spacing w:after="0" w:line="240" w:lineRule="auto"/>
        <w:jc w:val="both"/>
        <w:rPr>
          <w:lang w:val="en-US"/>
        </w:rPr>
      </w:pPr>
    </w:p>
    <w:p w14:paraId="05D2B676" w14:textId="77777777" w:rsidR="001727E7" w:rsidRDefault="001727E7" w:rsidP="00A14719">
      <w:pPr>
        <w:spacing w:after="0" w:line="240" w:lineRule="auto"/>
        <w:jc w:val="both"/>
        <w:rPr>
          <w:lang w:val="en-US"/>
        </w:rPr>
      </w:pPr>
    </w:p>
    <w:p w14:paraId="1D3CDDE4" w14:textId="54184D2E" w:rsidR="001D75F6" w:rsidRDefault="003A3D66" w:rsidP="00A14719">
      <w:pPr>
        <w:tabs>
          <w:tab w:val="left" w:pos="1200"/>
        </w:tabs>
        <w:spacing w:after="0" w:line="240" w:lineRule="auto"/>
        <w:jc w:val="both"/>
        <w:rPr>
          <w:b/>
          <w:sz w:val="24"/>
        </w:rPr>
      </w:pPr>
      <w:r>
        <w:rPr>
          <w:b/>
          <w:sz w:val="24"/>
        </w:rPr>
        <w:lastRenderedPageBreak/>
        <w:t>2.2 Key c</w:t>
      </w:r>
      <w:r w:rsidR="00533A88" w:rsidRPr="00533A88">
        <w:rPr>
          <w:b/>
          <w:sz w:val="24"/>
        </w:rPr>
        <w:t>hallenges</w:t>
      </w:r>
      <w:r w:rsidR="000B25CF">
        <w:rPr>
          <w:b/>
          <w:sz w:val="24"/>
        </w:rPr>
        <w:t xml:space="preserve"> for LDC</w:t>
      </w:r>
      <w:r w:rsidR="00613E01">
        <w:rPr>
          <w:b/>
          <w:sz w:val="24"/>
        </w:rPr>
        <w:t xml:space="preserve"> graduation </w:t>
      </w:r>
    </w:p>
    <w:p w14:paraId="28B54A58" w14:textId="77777777" w:rsidR="003D0F3F" w:rsidRDefault="003D0F3F" w:rsidP="00A14719">
      <w:pPr>
        <w:tabs>
          <w:tab w:val="left" w:pos="1200"/>
        </w:tabs>
        <w:spacing w:after="0" w:line="240" w:lineRule="auto"/>
        <w:jc w:val="both"/>
      </w:pPr>
    </w:p>
    <w:p w14:paraId="1F9BEEE2" w14:textId="44E71CD3" w:rsidR="00102C59" w:rsidRPr="00A14719" w:rsidRDefault="00102C59" w:rsidP="00102C59">
      <w:pPr>
        <w:spacing w:after="0" w:line="240" w:lineRule="auto"/>
        <w:jc w:val="both"/>
        <w:rPr>
          <w:rFonts w:cs="Times New Roman"/>
        </w:rPr>
      </w:pPr>
      <w:r w:rsidRPr="00A14719">
        <w:rPr>
          <w:rFonts w:cs="Times New Roman"/>
          <w:b/>
        </w:rPr>
        <w:t>Lao PDR seems on track to graduate from its LDC status. However, of the three criteria for LDC graduation, Lao PDR is most lacking in economic vulnerability, followed by human asset.</w:t>
      </w:r>
      <w:r w:rsidRPr="0064001E">
        <w:rPr>
          <w:rFonts w:cs="Times New Roman"/>
        </w:rPr>
        <w:t xml:space="preserve"> Human development plays a critical role in addressing both deficits. While elements of human development overlap with the indicators of human asset, Lao PDR needs to develop human capital to diversify its economy </w:t>
      </w:r>
      <w:proofErr w:type="gramStart"/>
      <w:r w:rsidRPr="0064001E">
        <w:rPr>
          <w:rFonts w:cs="Times New Roman"/>
        </w:rPr>
        <w:t>in order to</w:t>
      </w:r>
      <w:proofErr w:type="gramEnd"/>
      <w:r w:rsidRPr="0064001E">
        <w:rPr>
          <w:rFonts w:cs="Times New Roman"/>
        </w:rPr>
        <w:t xml:space="preserve"> reduce vulnerability.</w:t>
      </w:r>
      <w:r>
        <w:rPr>
          <w:rFonts w:cs="Times New Roman"/>
        </w:rPr>
        <w:t xml:space="preserve"> </w:t>
      </w:r>
      <w:r w:rsidRPr="003943D1">
        <w:rPr>
          <w:rFonts w:cs="Times New Roman"/>
        </w:rPr>
        <w:t>Heightened commitment to human development is needed, not only to reach LDC graduation thresholds but also to face the post-graduation challenges and to reap the benefits from openness, especially the country’s full AEC integration</w:t>
      </w:r>
      <w:r w:rsidR="00366FA1">
        <w:rPr>
          <w:rFonts w:cs="Times New Roman"/>
        </w:rPr>
        <w:t xml:space="preserve">. </w:t>
      </w:r>
    </w:p>
    <w:p w14:paraId="615A977F" w14:textId="77777777" w:rsidR="00102C59" w:rsidRDefault="00102C59" w:rsidP="00102C59">
      <w:pPr>
        <w:spacing w:after="0" w:line="240" w:lineRule="auto"/>
        <w:jc w:val="both"/>
        <w:rPr>
          <w:rFonts w:cs="Times New Roman"/>
          <w:i/>
        </w:rPr>
      </w:pPr>
    </w:p>
    <w:p w14:paraId="7149B4F9" w14:textId="5D73E579" w:rsidR="00366FA1" w:rsidRPr="00A14719" w:rsidRDefault="00102C59" w:rsidP="00102C59">
      <w:pPr>
        <w:spacing w:after="0" w:line="240" w:lineRule="auto"/>
        <w:jc w:val="both"/>
        <w:rPr>
          <w:rFonts w:cs="Times New Roman"/>
          <w:b/>
          <w:sz w:val="24"/>
          <w:szCs w:val="24"/>
        </w:rPr>
      </w:pPr>
      <w:r w:rsidRPr="00A14719">
        <w:rPr>
          <w:rFonts w:cs="Times New Roman"/>
          <w:b/>
          <w:sz w:val="24"/>
          <w:szCs w:val="24"/>
        </w:rPr>
        <w:t xml:space="preserve"> </w:t>
      </w:r>
      <w:r w:rsidR="00366FA1" w:rsidRPr="00A14719">
        <w:rPr>
          <w:rFonts w:cs="Times New Roman"/>
          <w:b/>
          <w:sz w:val="24"/>
          <w:szCs w:val="24"/>
        </w:rPr>
        <w:t xml:space="preserve">2.2.1 Economic vulnerability </w:t>
      </w:r>
    </w:p>
    <w:p w14:paraId="275C006A" w14:textId="77777777" w:rsidR="000B25CF" w:rsidRDefault="000B25CF" w:rsidP="00102C59">
      <w:pPr>
        <w:spacing w:after="0" w:line="240" w:lineRule="auto"/>
        <w:jc w:val="both"/>
        <w:rPr>
          <w:rFonts w:cs="Times New Roman"/>
          <w:b/>
        </w:rPr>
      </w:pPr>
    </w:p>
    <w:p w14:paraId="3C281CB5" w14:textId="33B0AAFF" w:rsidR="00102C59" w:rsidRPr="00A14719" w:rsidRDefault="00102C59" w:rsidP="00102C59">
      <w:pPr>
        <w:spacing w:after="0" w:line="240" w:lineRule="auto"/>
        <w:jc w:val="both"/>
        <w:rPr>
          <w:rFonts w:cs="Times New Roman"/>
        </w:rPr>
      </w:pPr>
      <w:r w:rsidRPr="00A14719">
        <w:rPr>
          <w:rFonts w:cs="Times New Roman"/>
          <w:b/>
        </w:rPr>
        <w:t>Lao PDR’s economy lacks the structural economic transformation and diversification required for smooth LDC graduation</w:t>
      </w:r>
      <w:r w:rsidRPr="00A14719">
        <w:rPr>
          <w:rFonts w:cs="Times New Roman"/>
          <w:i/>
        </w:rPr>
        <w:t>.</w:t>
      </w:r>
      <w:r w:rsidRPr="00A14719">
        <w:rPr>
          <w:rFonts w:cs="Times New Roman"/>
        </w:rPr>
        <w:t xml:space="preserve"> The major part of recent GDP growth has stemmed from low-productivity agriculture and the capital-intensive natural resources sector. Although the share of agriculture in GDP declined from 41% to 27%, its share in employment did not decline commensurately, still accounting for over 60% of the economy’s total working hours. The fast-growing mining, electricity and gas sector accounts for only 1% of total working hours. The manufacturing sector’s share in total working hours stagnated at 8% during 2008-2013. Thus, Lao PDR’s growth has not been inclusive and broad based. </w:t>
      </w:r>
    </w:p>
    <w:p w14:paraId="69E225F7" w14:textId="77777777" w:rsidR="00102C59" w:rsidRPr="00A14719" w:rsidRDefault="00102C59" w:rsidP="00102C59">
      <w:pPr>
        <w:spacing w:after="0" w:line="240" w:lineRule="auto"/>
        <w:jc w:val="both"/>
        <w:rPr>
          <w:rFonts w:cs="Times New Roman"/>
        </w:rPr>
      </w:pPr>
    </w:p>
    <w:p w14:paraId="23D7693F" w14:textId="77777777" w:rsidR="00102C59" w:rsidRPr="00A14719" w:rsidRDefault="00102C59" w:rsidP="00102C59">
      <w:pPr>
        <w:spacing w:after="0" w:line="240" w:lineRule="auto"/>
        <w:jc w:val="both"/>
        <w:rPr>
          <w:rFonts w:cs="Times New Roman"/>
        </w:rPr>
      </w:pPr>
      <w:r w:rsidRPr="00A14719">
        <w:rPr>
          <w:rFonts w:cs="Times New Roman"/>
          <w:b/>
        </w:rPr>
        <w:t>Lao PDR’s export structure is also narrow.</w:t>
      </w:r>
      <w:r w:rsidRPr="00A14719">
        <w:rPr>
          <w:rFonts w:cs="Times New Roman"/>
        </w:rPr>
        <w:t xml:space="preserve"> Roughly 80% of Lao PDR’s exports are primary products, and labour-intensive clothing and footwear manufacturing accounts for only 13% of total exports. Three countries—Thailand, China and Vietnam—absorb close to 70% of Lao PDR’s exports.</w:t>
      </w:r>
    </w:p>
    <w:p w14:paraId="19ED5AAC" w14:textId="77777777" w:rsidR="00102C59" w:rsidRPr="00A14719" w:rsidRDefault="00102C59" w:rsidP="00102C59">
      <w:pPr>
        <w:spacing w:after="0" w:line="240" w:lineRule="auto"/>
        <w:jc w:val="both"/>
        <w:rPr>
          <w:rFonts w:cs="Times New Roman"/>
        </w:rPr>
      </w:pPr>
    </w:p>
    <w:p w14:paraId="41BC4895" w14:textId="77777777" w:rsidR="00102C59" w:rsidRPr="00A14719" w:rsidRDefault="00102C59" w:rsidP="00102C59">
      <w:pPr>
        <w:spacing w:after="0" w:line="240" w:lineRule="auto"/>
        <w:jc w:val="both"/>
        <w:rPr>
          <w:rFonts w:cs="Times New Roman"/>
        </w:rPr>
      </w:pPr>
      <w:r w:rsidRPr="00A14719">
        <w:rPr>
          <w:rFonts w:cs="Times New Roman"/>
          <w:b/>
        </w:rPr>
        <w:t>Backward and forward linkages in Lao PDR’s manufacturing sector are weak.</w:t>
      </w:r>
      <w:r w:rsidRPr="00A14719">
        <w:rPr>
          <w:rFonts w:cs="Times New Roman"/>
        </w:rPr>
        <w:t xml:space="preserve"> About 51% of manufacturing value added generated within the country is composed of inputs from the primary sector—not from manufacturing itself, or the agriculture or services sectors. Domestic value added (49%) in exports from Lao PDR’s manufacturing sector is below other countries such as Bangladesh (88%), Cambodia (76%), Thailand (80%) and Vietnam (64%). </w:t>
      </w:r>
    </w:p>
    <w:p w14:paraId="6F395CA2" w14:textId="77777777" w:rsidR="00102C59" w:rsidRPr="00A14719" w:rsidRDefault="00102C59" w:rsidP="00102C59">
      <w:pPr>
        <w:spacing w:after="0" w:line="240" w:lineRule="auto"/>
        <w:jc w:val="both"/>
        <w:rPr>
          <w:rFonts w:cs="Times New Roman"/>
        </w:rPr>
      </w:pPr>
    </w:p>
    <w:p w14:paraId="06A3B142" w14:textId="7FAE8848" w:rsidR="00102C59" w:rsidRPr="00A14719" w:rsidRDefault="00102C59" w:rsidP="00102C59">
      <w:pPr>
        <w:spacing w:after="0" w:line="240" w:lineRule="auto"/>
        <w:jc w:val="both"/>
        <w:rPr>
          <w:rFonts w:cs="Times New Roman"/>
        </w:rPr>
      </w:pPr>
      <w:r w:rsidRPr="00A14719">
        <w:rPr>
          <w:rFonts w:cs="Times New Roman"/>
          <w:b/>
        </w:rPr>
        <w:t xml:space="preserve">Lao PDR’s exposure to economic vulnerability remains high due to overdependence on the agriculture and resource sectors. </w:t>
      </w:r>
      <w:r w:rsidRPr="00A14719">
        <w:rPr>
          <w:rFonts w:cs="Times New Roman"/>
        </w:rPr>
        <w:t>Its narrow export base and high susceptibility to natural disasters also contribute to high economic vulnerability. In 2015</w:t>
      </w:r>
      <w:r w:rsidR="001727E7">
        <w:rPr>
          <w:rFonts w:cs="Times New Roman"/>
        </w:rPr>
        <w:t>,</w:t>
      </w:r>
      <w:r w:rsidRPr="00A14719">
        <w:rPr>
          <w:rFonts w:cs="Times New Roman"/>
        </w:rPr>
        <w:t xml:space="preserve"> Lao PDR’s EVI was 36.2 (i.e. 88% of the threshold). Its EVI gap is the largest compared with gross national income (GNI) and HAI value. Lao PDR’s relative position vis-à-vis other LDCs is also worse on the EVI than on the other two indices, with 16 LDCs having lower EVI than Lao PDR.</w:t>
      </w:r>
    </w:p>
    <w:p w14:paraId="50D3F4F0" w14:textId="77777777" w:rsidR="00102C59" w:rsidRPr="00A14719" w:rsidRDefault="00102C59" w:rsidP="00102C59">
      <w:pPr>
        <w:spacing w:after="0" w:line="240" w:lineRule="auto"/>
        <w:jc w:val="both"/>
        <w:rPr>
          <w:rFonts w:cs="Times New Roman"/>
        </w:rPr>
      </w:pPr>
    </w:p>
    <w:p w14:paraId="6E686B5C" w14:textId="77777777" w:rsidR="00102C59" w:rsidRPr="00A14719" w:rsidRDefault="00102C59" w:rsidP="00102C59">
      <w:pPr>
        <w:spacing w:after="0" w:line="240" w:lineRule="auto"/>
        <w:jc w:val="both"/>
        <w:rPr>
          <w:rFonts w:cs="Times New Roman"/>
        </w:rPr>
      </w:pPr>
      <w:r w:rsidRPr="00A14719">
        <w:rPr>
          <w:rFonts w:cs="Times New Roman"/>
          <w:b/>
        </w:rPr>
        <w:t>Given the composition and direction of Lao PDR’s exports, its LDC graduation should not affect trade prospects, beyond the usual competition it currently faces.</w:t>
      </w:r>
      <w:r w:rsidRPr="00A14719">
        <w:rPr>
          <w:rFonts w:cs="Times New Roman"/>
        </w:rPr>
        <w:t xml:space="preserve"> Lao PDR’s access to Thailand, China and Vietnam is not dependent on its LDC status. Its export of manufacturing, especially of those products enjoying preferential access to developed countries, is limited. The only area that might be affected is concessional external finance—official development assistance (ODA) and International Development Association (IDA) facilities—and technical assistance. However, ODA has been on the decline for some time, and most development partner (DP) countries still </w:t>
      </w:r>
      <w:proofErr w:type="gramStart"/>
      <w:r w:rsidRPr="00A14719">
        <w:rPr>
          <w:rFonts w:cs="Times New Roman"/>
        </w:rPr>
        <w:t>lag behind</w:t>
      </w:r>
      <w:proofErr w:type="gramEnd"/>
      <w:r w:rsidRPr="00A14719">
        <w:rPr>
          <w:rFonts w:cs="Times New Roman"/>
        </w:rPr>
        <w:t xml:space="preserve"> fulfilling their ODA commitments.</w:t>
      </w:r>
      <w:r w:rsidRPr="00A14719">
        <w:rPr>
          <w:rFonts w:cs="Times New Roman"/>
          <w:i/>
        </w:rPr>
        <w:t xml:space="preserve"> </w:t>
      </w:r>
    </w:p>
    <w:p w14:paraId="0F88B768" w14:textId="77777777" w:rsidR="000B25CF" w:rsidRDefault="000B25CF" w:rsidP="000B25CF">
      <w:pPr>
        <w:spacing w:after="0" w:line="240" w:lineRule="auto"/>
        <w:jc w:val="both"/>
        <w:rPr>
          <w:rFonts w:cs="Times New Roman"/>
          <w:i/>
        </w:rPr>
      </w:pPr>
    </w:p>
    <w:p w14:paraId="42F960D0" w14:textId="77777777" w:rsidR="000B25CF" w:rsidRPr="003943D1" w:rsidRDefault="000B25CF" w:rsidP="000B25CF">
      <w:pPr>
        <w:spacing w:after="0" w:line="240" w:lineRule="auto"/>
        <w:jc w:val="both"/>
        <w:rPr>
          <w:rFonts w:cs="Times New Roman"/>
        </w:rPr>
      </w:pPr>
      <w:r w:rsidRPr="00A14719">
        <w:rPr>
          <w:rFonts w:cs="Times New Roman"/>
          <w:b/>
        </w:rPr>
        <w:t>Lao PDR’s integration into the ASEAN Economic Community (AEC) can make the situation more challenging.</w:t>
      </w:r>
      <w:r w:rsidRPr="003943D1">
        <w:rPr>
          <w:rFonts w:cs="Times New Roman"/>
        </w:rPr>
        <w:t xml:space="preserve"> Tariff cuts required for full integration are likely to adversely affect the Government’s fiscal revenue. Lao PDR has already reduced tariff rates to zero for 79% of all products listed under the region-</w:t>
      </w:r>
      <w:r w:rsidRPr="003943D1">
        <w:rPr>
          <w:rFonts w:cs="Times New Roman"/>
        </w:rPr>
        <w:lastRenderedPageBreak/>
        <w:t xml:space="preserve">wide Common Effective Preferential Tariff (CEPT) and by 2015 some 8,879 listed products had zero tariffs. Lao PDR may also face pressure to cut corporate tax rates in a race to attract foreign investment. Prospects for compensating revenue losses by expanding value added tax (VAT) are limited, due to the dominance of agriculture and informal business activities. VAT is also </w:t>
      </w:r>
      <w:proofErr w:type="gramStart"/>
      <w:r w:rsidRPr="003943D1">
        <w:rPr>
          <w:rFonts w:cs="Times New Roman"/>
        </w:rPr>
        <w:t>regressive</w:t>
      </w:r>
      <w:proofErr w:type="gramEnd"/>
      <w:r w:rsidRPr="003943D1">
        <w:rPr>
          <w:rFonts w:cs="Times New Roman"/>
        </w:rPr>
        <w:t xml:space="preserve"> and its expansion may worsen inequality. Corporate tax cuts may result in net revenue loss if they fail to attract enough foreign investment, as is evidenced elsewhere.</w:t>
      </w:r>
      <w:r w:rsidRPr="003943D1">
        <w:rPr>
          <w:rFonts w:cs="Times New Roman"/>
          <w:i/>
        </w:rPr>
        <w:t xml:space="preserve"> </w:t>
      </w:r>
      <w:r w:rsidRPr="003943D1">
        <w:rPr>
          <w:rFonts w:cs="Times New Roman"/>
        </w:rPr>
        <w:t>In addition, with tariff cuts, Lao PDR may not have enough policy tools to protect its nascent manufacturing sector.</w:t>
      </w:r>
    </w:p>
    <w:p w14:paraId="7403D969" w14:textId="77777777" w:rsidR="000B25CF" w:rsidRPr="003943D1" w:rsidRDefault="000B25CF" w:rsidP="000B25CF">
      <w:pPr>
        <w:spacing w:after="0" w:line="240" w:lineRule="auto"/>
        <w:jc w:val="both"/>
        <w:rPr>
          <w:rFonts w:cs="Times New Roman"/>
        </w:rPr>
      </w:pPr>
    </w:p>
    <w:p w14:paraId="7DB1CDE8" w14:textId="71755888" w:rsidR="000B25CF" w:rsidRDefault="000B25CF" w:rsidP="000B25CF">
      <w:pPr>
        <w:spacing w:after="0" w:line="240" w:lineRule="auto"/>
        <w:jc w:val="both"/>
        <w:rPr>
          <w:rFonts w:cs="Times New Roman"/>
        </w:rPr>
      </w:pPr>
      <w:r w:rsidRPr="00A14719">
        <w:rPr>
          <w:rFonts w:cs="Times New Roman"/>
          <w:b/>
        </w:rPr>
        <w:t>The AEC is more likely to bring “production integration” more than market integration.</w:t>
      </w:r>
      <w:r w:rsidRPr="000B25CF">
        <w:rPr>
          <w:rFonts w:cs="Times New Roman"/>
        </w:rPr>
        <w:t xml:space="preserve"> Intra-ASEAN trade and investment are still very limited, constituting about 25% of total trade and 16% of total foreign direct investment (FDI). Major exports and imports among ASEAN countries are parts and components of electronics and automotive products. Thus, intra-ASEAN market integration is not a major driver of ASEAN integration. More FDI into the resource sector and participating at the lower end of the global/regional value chain would not be very beneficial for Lao PDR in the long term. Lao PDR must be able to participate at the higher end, for which it needs to increase the stock of human capital, improve connectivity and strengthen its institutions as well as its governance capabilities.</w:t>
      </w:r>
    </w:p>
    <w:p w14:paraId="36EB8FE6" w14:textId="77777777" w:rsidR="00102C59" w:rsidRPr="00A14719" w:rsidRDefault="00102C59" w:rsidP="00102C59">
      <w:pPr>
        <w:spacing w:after="0" w:line="240" w:lineRule="auto"/>
        <w:jc w:val="both"/>
        <w:rPr>
          <w:rFonts w:cs="Times New Roman"/>
        </w:rPr>
      </w:pPr>
    </w:p>
    <w:p w14:paraId="05FC3E8E" w14:textId="42374945" w:rsidR="00102C59" w:rsidRPr="00A14719" w:rsidRDefault="00366FA1" w:rsidP="00102C59">
      <w:pPr>
        <w:spacing w:after="0" w:line="240" w:lineRule="auto"/>
        <w:jc w:val="both"/>
        <w:rPr>
          <w:rFonts w:cs="Times New Roman"/>
          <w:sz w:val="24"/>
          <w:szCs w:val="24"/>
        </w:rPr>
      </w:pPr>
      <w:r w:rsidRPr="00A14719">
        <w:rPr>
          <w:rFonts w:cs="Times New Roman"/>
          <w:b/>
          <w:sz w:val="24"/>
          <w:szCs w:val="24"/>
        </w:rPr>
        <w:t xml:space="preserve">2.2.2 Human Assets </w:t>
      </w:r>
    </w:p>
    <w:p w14:paraId="3DD24168" w14:textId="77777777" w:rsidR="00887138" w:rsidRDefault="00887138" w:rsidP="00102C59">
      <w:pPr>
        <w:spacing w:after="0" w:line="240" w:lineRule="auto"/>
        <w:jc w:val="both"/>
        <w:rPr>
          <w:rFonts w:cs="Times New Roman"/>
          <w:b/>
        </w:rPr>
      </w:pPr>
    </w:p>
    <w:p w14:paraId="38F87274" w14:textId="77777777" w:rsidR="00102C59" w:rsidRPr="00A14719" w:rsidRDefault="00102C59" w:rsidP="00102C59">
      <w:pPr>
        <w:spacing w:after="0" w:line="240" w:lineRule="auto"/>
        <w:jc w:val="both"/>
        <w:rPr>
          <w:rFonts w:cs="Times New Roman"/>
        </w:rPr>
      </w:pPr>
      <w:r w:rsidRPr="00A14719">
        <w:rPr>
          <w:rFonts w:cs="Times New Roman"/>
          <w:b/>
        </w:rPr>
        <w:t>Lao PDR’s human capital is very low.</w:t>
      </w:r>
      <w:r w:rsidRPr="00A14719">
        <w:rPr>
          <w:rFonts w:cs="Times New Roman"/>
        </w:rPr>
        <w:t xml:space="preserve"> Its labour force is the least literate and numerate in the South-east Asian region. An Early Grade Reading Assessment showed that over 30% of 2nd graders could not read a single word, and among those who could read, 57% did not understand what they had just read. Language is a serious barrier for the minority ethnic communities. Lao PDR also has shortages of vocational skills.</w:t>
      </w:r>
    </w:p>
    <w:p w14:paraId="2E4B8DB4" w14:textId="77777777" w:rsidR="00102C59" w:rsidRPr="00A14719" w:rsidRDefault="00102C59" w:rsidP="00102C59">
      <w:pPr>
        <w:spacing w:after="0" w:line="240" w:lineRule="auto"/>
        <w:jc w:val="both"/>
        <w:rPr>
          <w:rFonts w:cs="Times New Roman"/>
        </w:rPr>
      </w:pPr>
    </w:p>
    <w:p w14:paraId="238809C2" w14:textId="77777777" w:rsidR="00102C59" w:rsidRPr="00A14719" w:rsidRDefault="00102C59" w:rsidP="00102C59">
      <w:pPr>
        <w:spacing w:after="0" w:line="240" w:lineRule="auto"/>
        <w:jc w:val="both"/>
        <w:rPr>
          <w:rFonts w:cs="Times New Roman"/>
        </w:rPr>
      </w:pPr>
      <w:r w:rsidRPr="00A14719">
        <w:rPr>
          <w:rFonts w:cs="Times New Roman"/>
          <w:b/>
        </w:rPr>
        <w:t>The size of Lao PDR’s labour force will remain very small.</w:t>
      </w:r>
      <w:r w:rsidRPr="00A14719">
        <w:rPr>
          <w:rFonts w:cs="Times New Roman"/>
        </w:rPr>
        <w:t xml:space="preserve"> The current size of Lao PDR’s labour force (aged 15-64) is 4.2 million. It is projected to increase to 5.6 million in 2030, and to only 7 million in 2050. On the other hand, the size of the labour force in Cambodia is projected to increase from 10 million in 2015 to 12.5 million in 2030, and to 14.8 million in 2050. Myanmar will have a labour force of 41.7 million in 2030 and 43.1 million in 2030.</w:t>
      </w:r>
    </w:p>
    <w:p w14:paraId="34EB2960" w14:textId="77777777" w:rsidR="00102C59" w:rsidRPr="00A14719" w:rsidRDefault="00102C59" w:rsidP="00102C59">
      <w:pPr>
        <w:spacing w:after="0" w:line="240" w:lineRule="auto"/>
        <w:jc w:val="both"/>
        <w:rPr>
          <w:rFonts w:cs="Times New Roman"/>
        </w:rPr>
      </w:pPr>
    </w:p>
    <w:p w14:paraId="3C9F0FCF" w14:textId="77777777" w:rsidR="00102C59" w:rsidRPr="00A14719" w:rsidRDefault="00102C59" w:rsidP="00102C59">
      <w:pPr>
        <w:spacing w:after="0" w:line="240" w:lineRule="auto"/>
        <w:jc w:val="both"/>
        <w:rPr>
          <w:rFonts w:cs="Times New Roman"/>
        </w:rPr>
      </w:pPr>
      <w:r w:rsidRPr="00A14719">
        <w:rPr>
          <w:rFonts w:cs="Times New Roman"/>
          <w:b/>
        </w:rPr>
        <w:t>Therefore, Lao PDR cannot follow the diversification path of early industrializers in the region, which were largely labour surplus economies.</w:t>
      </w:r>
      <w:r w:rsidRPr="00A14719">
        <w:rPr>
          <w:rFonts w:cs="Times New Roman"/>
        </w:rPr>
        <w:t xml:space="preserve"> Lao PDR is likely to face more intense competition from other labour surplus countries in low-end, assembly-type production than the early industrializers confronted, especially in a more globalized economy. Lao PDR cannot compete in the shifting labour-intensive activities for long with its small labour force —labour surplus countries Cambodia, Myanmar and Vietnam will have an edge.</w:t>
      </w:r>
    </w:p>
    <w:p w14:paraId="3D2E3A10" w14:textId="77777777" w:rsidR="00102C59" w:rsidRPr="00A14719" w:rsidRDefault="00102C59" w:rsidP="00102C59">
      <w:pPr>
        <w:spacing w:after="0" w:line="240" w:lineRule="auto"/>
        <w:jc w:val="both"/>
        <w:rPr>
          <w:rFonts w:cs="Times New Roman"/>
        </w:rPr>
      </w:pPr>
    </w:p>
    <w:p w14:paraId="317644B1" w14:textId="77777777" w:rsidR="00102C59" w:rsidRPr="00A14719" w:rsidRDefault="00102C59" w:rsidP="00102C59">
      <w:pPr>
        <w:spacing w:after="0" w:line="240" w:lineRule="auto"/>
        <w:jc w:val="both"/>
        <w:rPr>
          <w:rFonts w:cs="Times New Roman"/>
        </w:rPr>
      </w:pPr>
      <w:r w:rsidRPr="00A14719">
        <w:rPr>
          <w:rFonts w:cs="Times New Roman"/>
          <w:b/>
        </w:rPr>
        <w:t>Lao PDR’s current public expenditure on education, health and social protection is low compared with its partners in the Association of Southeast Asian Nations (ASEAN) and many other LDCs.</w:t>
      </w:r>
      <w:r w:rsidRPr="00A14719">
        <w:rPr>
          <w:rFonts w:cs="Times New Roman"/>
        </w:rPr>
        <w:t xml:space="preserve"> For example, public spending in Lao PDR on education during the period 2005-2014 was only 2.8% of GDP, against Vietnam’s 6.3%. In landlocked LDCs Nepal and Bhutan, which have similar resource endowments and topography, it was 4.7% and 5.5% of GDP, respectively; the average for the LDCs was 3.4% of GDP. The picture is very similar in public health spending. Lao’s public expenditure of 2% of GDP on health in 2013 was far below Vietnam and Nepal’s 6% of their respective GDPs, and the LDC average of 5.2%. Lao PDR’s public expenditure on social protection in 2011 was 0.9% of GDP, below Cambodia’s 1.0%, Bhutan’s 1.2%, Nepal’s 2.1%, Thailand’s 3.6% and Vietnam’s 4.7%.</w:t>
      </w:r>
    </w:p>
    <w:p w14:paraId="2135FBB7" w14:textId="77777777" w:rsidR="00102C59" w:rsidRPr="00A14719" w:rsidRDefault="00102C59" w:rsidP="00102C59">
      <w:pPr>
        <w:spacing w:after="0" w:line="240" w:lineRule="auto"/>
        <w:jc w:val="both"/>
        <w:rPr>
          <w:rFonts w:cs="Times New Roman"/>
        </w:rPr>
      </w:pPr>
    </w:p>
    <w:p w14:paraId="41027A25" w14:textId="72B1E5EE" w:rsidR="000B25CF" w:rsidRPr="00A14719" w:rsidRDefault="000B25CF" w:rsidP="000B25CF">
      <w:pPr>
        <w:widowControl w:val="0"/>
        <w:spacing w:after="0" w:line="240" w:lineRule="auto"/>
        <w:jc w:val="both"/>
        <w:rPr>
          <w:rFonts w:cs="Times New Roman"/>
          <w:b/>
        </w:rPr>
      </w:pPr>
      <w:r w:rsidRPr="00A14719">
        <w:rPr>
          <w:rFonts w:cs="Times New Roman"/>
          <w:b/>
        </w:rPr>
        <w:t>Maternal and Neonatal Child Health</w:t>
      </w:r>
      <w:r w:rsidR="00887138" w:rsidRPr="00A14719">
        <w:rPr>
          <w:rFonts w:cs="Times New Roman"/>
        </w:rPr>
        <w:t xml:space="preserve"> - At the turn of the century the country’s performance on key </w:t>
      </w:r>
      <w:r w:rsidR="00887138" w:rsidRPr="00A14719">
        <w:rPr>
          <w:rFonts w:cs="Times New Roman"/>
        </w:rPr>
        <w:lastRenderedPageBreak/>
        <w:t>indicators (infant and child mortality: neonatal mortality rate (NMR), infant mortality rate (IMR) and under-5 mortality rate (U5MR)) was poor,</w:t>
      </w:r>
      <w:r w:rsidR="00887138" w:rsidRPr="00A14719">
        <w:rPr>
          <w:rFonts w:cs="Times New Roman"/>
          <w:b/>
        </w:rPr>
        <w:t xml:space="preserve"> </w:t>
      </w:r>
      <w:r w:rsidRPr="00A14719">
        <w:rPr>
          <w:rFonts w:cs="Times New Roman"/>
        </w:rPr>
        <w:t xml:space="preserve">but </w:t>
      </w:r>
      <w:proofErr w:type="gramStart"/>
      <w:r w:rsidRPr="00A14719">
        <w:rPr>
          <w:rFonts w:cs="Times New Roman"/>
        </w:rPr>
        <w:t>significant progress</w:t>
      </w:r>
      <w:proofErr w:type="gramEnd"/>
      <w:r w:rsidRPr="00A14719">
        <w:rPr>
          <w:rFonts w:cs="Times New Roman"/>
        </w:rPr>
        <w:t xml:space="preserve"> was made through the decade until 2011. The MDG U5MR target has most likely been achieved, but the IMR target might appear a bit challenging, though it probably will be achieved. The key lies in reducing the NMR, as an infant’s vulnerability is highest in its first 28 days of life (the NMR period).      </w:t>
      </w:r>
    </w:p>
    <w:p w14:paraId="7B795F52" w14:textId="77777777" w:rsidR="00533A88" w:rsidRPr="00887138" w:rsidRDefault="00533A88" w:rsidP="00A14719">
      <w:pPr>
        <w:tabs>
          <w:tab w:val="left" w:pos="1200"/>
        </w:tabs>
        <w:spacing w:after="0" w:line="240" w:lineRule="auto"/>
        <w:jc w:val="both"/>
        <w:rPr>
          <w:b/>
        </w:rPr>
      </w:pPr>
    </w:p>
    <w:p w14:paraId="7A4AC426" w14:textId="424036B4" w:rsidR="00533A88" w:rsidRPr="00533A88" w:rsidRDefault="003A3D66" w:rsidP="00A14719">
      <w:pPr>
        <w:tabs>
          <w:tab w:val="left" w:pos="1200"/>
        </w:tabs>
        <w:spacing w:after="0" w:line="240" w:lineRule="auto"/>
        <w:jc w:val="both"/>
        <w:rPr>
          <w:b/>
          <w:sz w:val="24"/>
        </w:rPr>
      </w:pPr>
      <w:r>
        <w:rPr>
          <w:b/>
          <w:sz w:val="24"/>
        </w:rPr>
        <w:t xml:space="preserve">2.3 </w:t>
      </w:r>
      <w:r w:rsidR="00533A88" w:rsidRPr="00533A88">
        <w:rPr>
          <w:b/>
          <w:sz w:val="24"/>
        </w:rPr>
        <w:t xml:space="preserve">Opportunities </w:t>
      </w:r>
    </w:p>
    <w:p w14:paraId="0D682262" w14:textId="77777777" w:rsidR="001727E7" w:rsidRDefault="001727E7" w:rsidP="00A14719">
      <w:pPr>
        <w:tabs>
          <w:tab w:val="left" w:pos="1200"/>
        </w:tabs>
        <w:spacing w:after="0" w:line="240" w:lineRule="auto"/>
        <w:jc w:val="both"/>
      </w:pPr>
    </w:p>
    <w:p w14:paraId="2153CD48" w14:textId="77777777" w:rsidR="00533A88" w:rsidRDefault="00533A88" w:rsidP="00A14719">
      <w:pPr>
        <w:tabs>
          <w:tab w:val="left" w:pos="1200"/>
        </w:tabs>
        <w:spacing w:after="0" w:line="240" w:lineRule="auto"/>
        <w:jc w:val="both"/>
      </w:pPr>
      <w:r w:rsidRPr="00A14719">
        <w:rPr>
          <w:b/>
        </w:rPr>
        <w:t>Lao PDR has the youngest labour force in the region and is expected to benefit from demographic transition.</w:t>
      </w:r>
      <w:r>
        <w:t xml:space="preserve"> The share of the population of working age (aged 15-64 years) in Lao PDR is projected to increase to 69% in 2050, compared with 68% in Myanmar, 65% in Cambodia and 62% in Vietnam.</w:t>
      </w:r>
    </w:p>
    <w:p w14:paraId="6FCB1E83" w14:textId="77777777" w:rsidR="002F464B" w:rsidRDefault="002F464B" w:rsidP="00A14719">
      <w:pPr>
        <w:tabs>
          <w:tab w:val="left" w:pos="1200"/>
        </w:tabs>
        <w:spacing w:after="0" w:line="240" w:lineRule="auto"/>
        <w:jc w:val="both"/>
      </w:pPr>
    </w:p>
    <w:p w14:paraId="0EE0BD5D" w14:textId="3A0ED599" w:rsidR="006865BC" w:rsidRDefault="006865BC" w:rsidP="00A14719">
      <w:pPr>
        <w:autoSpaceDE w:val="0"/>
        <w:autoSpaceDN w:val="0"/>
        <w:adjustRightInd w:val="0"/>
        <w:spacing w:after="0" w:line="240" w:lineRule="auto"/>
        <w:jc w:val="both"/>
        <w:rPr>
          <w:rFonts w:cstheme="minorHAnsi"/>
          <w:color w:val="000000"/>
        </w:rPr>
      </w:pPr>
      <w:r w:rsidRPr="007F5C7A">
        <w:rPr>
          <w:rFonts w:cstheme="minorHAnsi"/>
          <w:b/>
        </w:rPr>
        <w:t xml:space="preserve">Economic transformation. </w:t>
      </w:r>
      <w:r w:rsidRPr="007F5C7A">
        <w:rPr>
          <w:rFonts w:cstheme="minorHAnsi"/>
          <w:color w:val="000000"/>
        </w:rPr>
        <w:t xml:space="preserve">The economy is still based mostly on natural resources and there is significant space for commercial production growth and diversification. </w:t>
      </w:r>
      <w:r w:rsidRPr="007F5C7A">
        <w:rPr>
          <w:rFonts w:cstheme="minorHAnsi"/>
        </w:rPr>
        <w:t xml:space="preserve">The policy on rural development and non-resource sector development </w:t>
      </w:r>
      <w:r w:rsidR="00B11A54">
        <w:rPr>
          <w:rFonts w:cstheme="minorHAnsi"/>
        </w:rPr>
        <w:t>will</w:t>
      </w:r>
      <w:r w:rsidRPr="007F5C7A">
        <w:rPr>
          <w:rFonts w:cstheme="minorHAnsi"/>
        </w:rPr>
        <w:t xml:space="preserve"> be more fully realized and implemented. Meanwhile,</w:t>
      </w:r>
      <w:r w:rsidR="00B11A54">
        <w:rPr>
          <w:rFonts w:cstheme="minorHAnsi"/>
        </w:rPr>
        <w:t xml:space="preserve"> agricultural production has been moving toward a better link with</w:t>
      </w:r>
      <w:r w:rsidRPr="007F5C7A">
        <w:rPr>
          <w:rFonts w:cstheme="minorHAnsi"/>
        </w:rPr>
        <w:t xml:space="preserve"> pr</w:t>
      </w:r>
      <w:r w:rsidR="00B11A54">
        <w:rPr>
          <w:rFonts w:cstheme="minorHAnsi"/>
        </w:rPr>
        <w:t xml:space="preserve">ocessing industries and markets. </w:t>
      </w:r>
    </w:p>
    <w:p w14:paraId="5ECD49DD" w14:textId="77777777" w:rsidR="006865BC" w:rsidRPr="007F5C7A" w:rsidRDefault="006865BC" w:rsidP="006865BC">
      <w:pPr>
        <w:autoSpaceDE w:val="0"/>
        <w:autoSpaceDN w:val="0"/>
        <w:adjustRightInd w:val="0"/>
        <w:spacing w:after="0" w:line="276" w:lineRule="auto"/>
        <w:jc w:val="both"/>
        <w:rPr>
          <w:rFonts w:cstheme="minorHAnsi"/>
          <w:b/>
          <w:color w:val="000000"/>
        </w:rPr>
      </w:pPr>
    </w:p>
    <w:p w14:paraId="39E5C7F2" w14:textId="6C953EDD" w:rsidR="006865BC" w:rsidRDefault="00533A88" w:rsidP="00A14719">
      <w:pPr>
        <w:tabs>
          <w:tab w:val="left" w:pos="1200"/>
        </w:tabs>
        <w:spacing w:after="0" w:line="240" w:lineRule="auto"/>
        <w:jc w:val="both"/>
      </w:pPr>
      <w:r w:rsidRPr="00A14719">
        <w:rPr>
          <w:b/>
        </w:rPr>
        <w:t>ASEAN economic integration should create more opportunities for Lao PDR to grow and diversify in different directions.</w:t>
      </w:r>
      <w:r>
        <w:t xml:space="preserve"> Within the AEC, there should be expansion of infrastructure and the regional value chain. Lao PDR has been able to attract </w:t>
      </w:r>
      <w:proofErr w:type="gramStart"/>
      <w:r>
        <w:t>a number of</w:t>
      </w:r>
      <w:proofErr w:type="gramEnd"/>
      <w:r>
        <w:t xml:space="preserve"> multinational companies during the past few years, which has resulted in rapid growth in the assembly and equipment parts sectors (such as camera parts), indicating Lao PDR’s potential to effectively participate in regional and global value chains.</w:t>
      </w:r>
      <w:r w:rsidR="006865BC">
        <w:t xml:space="preserve"> </w:t>
      </w:r>
    </w:p>
    <w:p w14:paraId="3F347232" w14:textId="77777777" w:rsidR="006865BC" w:rsidRDefault="006865BC" w:rsidP="00A14719">
      <w:pPr>
        <w:tabs>
          <w:tab w:val="left" w:pos="1200"/>
        </w:tabs>
        <w:spacing w:after="0" w:line="240" w:lineRule="auto"/>
        <w:jc w:val="both"/>
      </w:pPr>
    </w:p>
    <w:p w14:paraId="60819C6D" w14:textId="34999F05" w:rsidR="0039463A" w:rsidRDefault="00533A88" w:rsidP="00A14719">
      <w:pPr>
        <w:tabs>
          <w:tab w:val="left" w:pos="1200"/>
        </w:tabs>
        <w:spacing w:after="0" w:line="240" w:lineRule="auto"/>
        <w:jc w:val="both"/>
      </w:pPr>
      <w:r w:rsidRPr="00A14719">
        <w:rPr>
          <w:b/>
        </w:rPr>
        <w:t xml:space="preserve">Lao PDR should also gain comparative advantage from AEC integration in </w:t>
      </w:r>
      <w:proofErr w:type="gramStart"/>
      <w:r w:rsidRPr="00A14719">
        <w:rPr>
          <w:b/>
        </w:rPr>
        <w:t>a number of</w:t>
      </w:r>
      <w:proofErr w:type="gramEnd"/>
      <w:r w:rsidRPr="00A14719">
        <w:rPr>
          <w:b/>
        </w:rPr>
        <w:t xml:space="preserve"> areas.</w:t>
      </w:r>
      <w:r>
        <w:t xml:space="preserve"> They include: </w:t>
      </w:r>
      <w:proofErr w:type="spellStart"/>
      <w:r>
        <w:t>agro</w:t>
      </w:r>
      <w:proofErr w:type="spellEnd"/>
      <w:r>
        <w:t xml:space="preserve">-processing (from the emerging agricultural surplus, such as in tea and coffee), value-added cultural and eco-tourism, organic </w:t>
      </w:r>
      <w:proofErr w:type="spellStart"/>
      <w:r>
        <w:t>agri</w:t>
      </w:r>
      <w:proofErr w:type="spellEnd"/>
      <w:r>
        <w:t xml:space="preserve">-horticulture and high-value added secondary wood products, which the Lao PDR Government has already identified. </w:t>
      </w:r>
    </w:p>
    <w:p w14:paraId="25930B3F" w14:textId="77777777" w:rsidR="0039463A" w:rsidRDefault="0039463A" w:rsidP="00A14719">
      <w:pPr>
        <w:tabs>
          <w:tab w:val="left" w:pos="1200"/>
        </w:tabs>
        <w:spacing w:after="0" w:line="240" w:lineRule="auto"/>
        <w:jc w:val="both"/>
      </w:pPr>
    </w:p>
    <w:p w14:paraId="649AEAFD" w14:textId="04764AAD" w:rsidR="006865BC" w:rsidRDefault="00533A88" w:rsidP="00A14719">
      <w:pPr>
        <w:tabs>
          <w:tab w:val="left" w:pos="1200"/>
        </w:tabs>
        <w:spacing w:after="0" w:line="240" w:lineRule="auto"/>
        <w:jc w:val="both"/>
      </w:pPr>
      <w:r w:rsidRPr="00A14719">
        <w:rPr>
          <w:b/>
        </w:rPr>
        <w:t>With the free ﬂow of skilled workers there is the possibility of more skilled workers coming to Lao PDR, which should help the transfer of technology/skills to Lao workers.</w:t>
      </w:r>
      <w:r>
        <w:t xml:space="preserve"> There are also opportunities for Lao PDR to enhance the quality of education through exchange and twinning arrangements with high-standard educational institutions in advanced ASEAN countries such as Singapore and Malaysia.</w:t>
      </w:r>
    </w:p>
    <w:p w14:paraId="0EEFB360" w14:textId="77777777" w:rsidR="006865BC" w:rsidRDefault="006865BC" w:rsidP="00A14719">
      <w:pPr>
        <w:tabs>
          <w:tab w:val="left" w:pos="1200"/>
        </w:tabs>
        <w:spacing w:after="0" w:line="240" w:lineRule="auto"/>
        <w:jc w:val="both"/>
        <w:rPr>
          <w:rFonts w:cstheme="minorHAnsi"/>
        </w:rPr>
      </w:pPr>
    </w:p>
    <w:p w14:paraId="0496883A" w14:textId="685A8B95" w:rsidR="006865BC" w:rsidRDefault="0017456A" w:rsidP="00A14719">
      <w:pPr>
        <w:tabs>
          <w:tab w:val="left" w:pos="1200"/>
        </w:tabs>
        <w:spacing w:after="0" w:line="240" w:lineRule="auto"/>
        <w:jc w:val="both"/>
        <w:rPr>
          <w:rFonts w:cstheme="minorHAnsi"/>
        </w:rPr>
      </w:pPr>
      <w:r w:rsidRPr="00A14719">
        <w:rPr>
          <w:rFonts w:cstheme="minorHAnsi"/>
          <w:b/>
        </w:rPr>
        <w:t xml:space="preserve">Business environment. </w:t>
      </w:r>
      <w:r w:rsidR="006865BC">
        <w:rPr>
          <w:rFonts w:cstheme="minorHAnsi"/>
        </w:rPr>
        <w:t>P</w:t>
      </w:r>
      <w:r w:rsidRPr="00A14719">
        <w:rPr>
          <w:rFonts w:cstheme="minorHAnsi"/>
        </w:rPr>
        <w:t xml:space="preserve">rivate sector and enterprise development has improved and been promoted, </w:t>
      </w:r>
      <w:r w:rsidRPr="00A14719">
        <w:rPr>
          <w:rFonts w:cstheme="minorHAnsi"/>
          <w:color w:val="000000"/>
        </w:rPr>
        <w:t xml:space="preserve">further efforts are needed to improve and upgrade the investment climate and promote private investment in non-resource industries. </w:t>
      </w:r>
      <w:r w:rsidRPr="00A14719">
        <w:rPr>
          <w:rFonts w:cstheme="minorHAnsi"/>
        </w:rPr>
        <w:t>Lao PDR was ranked 134 out of 189 countries worldwide in the World Bank’s Doing Business Indicators in 2016</w:t>
      </w:r>
      <w:r w:rsidR="006865BC">
        <w:rPr>
          <w:rFonts w:cstheme="minorHAnsi"/>
        </w:rPr>
        <w:t xml:space="preserve"> and the Government has highly committed to move the ranking to two digits. </w:t>
      </w:r>
    </w:p>
    <w:p w14:paraId="0BD6C9C8" w14:textId="77777777" w:rsidR="006865BC" w:rsidRDefault="006865BC" w:rsidP="00A14719">
      <w:pPr>
        <w:tabs>
          <w:tab w:val="left" w:pos="1200"/>
        </w:tabs>
        <w:spacing w:after="0" w:line="240" w:lineRule="auto"/>
        <w:jc w:val="both"/>
        <w:rPr>
          <w:rFonts w:cstheme="minorHAnsi"/>
        </w:rPr>
      </w:pPr>
    </w:p>
    <w:p w14:paraId="12486494" w14:textId="003683AA" w:rsidR="0017456A" w:rsidRPr="00A14719" w:rsidRDefault="0017456A" w:rsidP="00A14719">
      <w:pPr>
        <w:tabs>
          <w:tab w:val="left" w:pos="1200"/>
        </w:tabs>
        <w:spacing w:after="0" w:line="240" w:lineRule="auto"/>
        <w:jc w:val="both"/>
        <w:rPr>
          <w:rFonts w:cstheme="minorHAnsi"/>
        </w:rPr>
      </w:pPr>
      <w:r w:rsidRPr="00A14719">
        <w:rPr>
          <w:rFonts w:cstheme="minorHAnsi"/>
          <w:b/>
        </w:rPr>
        <w:t>Strengthening human resources.</w:t>
      </w:r>
      <w:r w:rsidRPr="00A14719">
        <w:rPr>
          <w:rFonts w:cstheme="minorHAnsi"/>
        </w:rPr>
        <w:t xml:space="preserve"> Human resource development has been promoted by both the private and public </w:t>
      </w:r>
      <w:proofErr w:type="gramStart"/>
      <w:r w:rsidRPr="00A14719">
        <w:rPr>
          <w:rFonts w:cstheme="minorHAnsi"/>
        </w:rPr>
        <w:t>sector</w:t>
      </w:r>
      <w:proofErr w:type="gramEnd"/>
      <w:r w:rsidRPr="00A14719">
        <w:rPr>
          <w:rFonts w:cstheme="minorHAnsi"/>
        </w:rPr>
        <w:t xml:space="preserve"> but overall quality is still limited. </w:t>
      </w:r>
      <w:r w:rsidR="006865BC">
        <w:rPr>
          <w:rFonts w:cstheme="minorHAnsi"/>
        </w:rPr>
        <w:t>Therefore, with the recent adoption of the national human resource development strategy,</w:t>
      </w:r>
      <w:r w:rsidRPr="00A14719">
        <w:rPr>
          <w:rFonts w:cstheme="minorHAnsi"/>
        </w:rPr>
        <w:t xml:space="preserve"> </w:t>
      </w:r>
      <w:r w:rsidR="006865BC">
        <w:rPr>
          <w:rFonts w:cstheme="minorHAnsi"/>
        </w:rPr>
        <w:t xml:space="preserve">there is a real opportunity to ensure that </w:t>
      </w:r>
      <w:r w:rsidRPr="00A14719">
        <w:rPr>
          <w:rFonts w:cstheme="minorHAnsi"/>
        </w:rPr>
        <w:t xml:space="preserve">human resource development is fully linked to </w:t>
      </w:r>
      <w:proofErr w:type="spellStart"/>
      <w:r w:rsidRPr="00A14719">
        <w:rPr>
          <w:rFonts w:cstheme="minorHAnsi"/>
        </w:rPr>
        <w:t>labor</w:t>
      </w:r>
      <w:proofErr w:type="spellEnd"/>
      <w:r w:rsidRPr="00A14719">
        <w:rPr>
          <w:rFonts w:cstheme="minorHAnsi"/>
        </w:rPr>
        <w:t xml:space="preserve"> market demands, especially for SMEs.</w:t>
      </w:r>
    </w:p>
    <w:p w14:paraId="5A66D87A" w14:textId="77777777" w:rsidR="0017456A" w:rsidRDefault="0017456A" w:rsidP="00A14719">
      <w:pPr>
        <w:tabs>
          <w:tab w:val="left" w:pos="1200"/>
        </w:tabs>
        <w:spacing w:after="0" w:line="240" w:lineRule="auto"/>
        <w:jc w:val="both"/>
      </w:pPr>
    </w:p>
    <w:p w14:paraId="5F1ED4F8" w14:textId="1971F20C" w:rsidR="00366E91" w:rsidRPr="00A14719" w:rsidRDefault="00446792" w:rsidP="00A14719">
      <w:pPr>
        <w:tabs>
          <w:tab w:val="left" w:pos="1200"/>
        </w:tabs>
        <w:spacing w:after="0" w:line="240" w:lineRule="auto"/>
        <w:jc w:val="both"/>
        <w:rPr>
          <w:b/>
          <w:sz w:val="28"/>
          <w:szCs w:val="28"/>
        </w:rPr>
      </w:pPr>
      <w:r w:rsidRPr="00A14719">
        <w:rPr>
          <w:b/>
          <w:sz w:val="28"/>
          <w:szCs w:val="28"/>
        </w:rPr>
        <w:t xml:space="preserve">III. </w:t>
      </w:r>
      <w:r w:rsidR="00366E91" w:rsidRPr="00A14719">
        <w:rPr>
          <w:b/>
          <w:sz w:val="28"/>
          <w:szCs w:val="28"/>
        </w:rPr>
        <w:t>Implications of Graduation</w:t>
      </w:r>
    </w:p>
    <w:p w14:paraId="0EE34D2B" w14:textId="77777777" w:rsidR="00F92AE0" w:rsidRDefault="00F92AE0" w:rsidP="00A14719">
      <w:pPr>
        <w:spacing w:after="0" w:line="240" w:lineRule="auto"/>
        <w:jc w:val="both"/>
        <w:rPr>
          <w:u w:val="single"/>
        </w:rPr>
      </w:pPr>
    </w:p>
    <w:p w14:paraId="4E2A4B7E" w14:textId="5A94F586" w:rsidR="002C395D" w:rsidRPr="00A14719" w:rsidRDefault="006E62DA" w:rsidP="00A14719">
      <w:pPr>
        <w:spacing w:after="0" w:line="240" w:lineRule="auto"/>
        <w:jc w:val="both"/>
        <w:rPr>
          <w:rFonts w:cs="Times New Roman"/>
        </w:rPr>
      </w:pPr>
      <w:r w:rsidRPr="00A14719">
        <w:rPr>
          <w:rFonts w:cs="Times New Roman"/>
        </w:rPr>
        <w:t>LDCs enjoy certain benefits, in terms of access to markets, trade facilitation, technology transfers and devel</w:t>
      </w:r>
      <w:r w:rsidR="00D13C04" w:rsidRPr="00A14719">
        <w:rPr>
          <w:rFonts w:cs="Times New Roman"/>
        </w:rPr>
        <w:t>opment assistance.</w:t>
      </w:r>
      <w:r w:rsidRPr="00A14719">
        <w:rPr>
          <w:rFonts w:cs="Times New Roman"/>
        </w:rPr>
        <w:t xml:space="preserve"> When countries graduate out of LDC status—in addition to their progress on the </w:t>
      </w:r>
      <w:r w:rsidRPr="00A14719">
        <w:rPr>
          <w:rFonts w:cs="Times New Roman"/>
        </w:rPr>
        <w:lastRenderedPageBreak/>
        <w:t xml:space="preserve">indicators—it is assumed that they would also acquire sufficient prowess not to rely on external assistance for the provision of basic services of reasonably acceptable quality to the people. They are further expected to enter into varied (and higher) forms of partnerships with other countries for mutual benefits in the realms of trade, capital/technology transfer, educational and cultural exchange and the like. Through the process of forging new partnerships, the countries also assume a higher negotiating status in regional and international forums such as ASEAN and the Asian Development Bank (ADB)/World Bank, World Trade Organization (WTO) and UN. Lao PDR requires to assess what forms of newer partnerships it could </w:t>
      </w:r>
      <w:proofErr w:type="gramStart"/>
      <w:r w:rsidRPr="00A14719">
        <w:rPr>
          <w:rFonts w:cs="Times New Roman"/>
        </w:rPr>
        <w:t>enter into</w:t>
      </w:r>
      <w:proofErr w:type="gramEnd"/>
      <w:r w:rsidRPr="00A14719">
        <w:rPr>
          <w:rFonts w:cs="Times New Roman"/>
        </w:rPr>
        <w:t xml:space="preserve"> and with whom, and the minimum in-country requirements/obligations for these. </w:t>
      </w:r>
    </w:p>
    <w:p w14:paraId="54F18561" w14:textId="77777777" w:rsidR="006E62DA" w:rsidRDefault="006E62DA" w:rsidP="00A14719">
      <w:pPr>
        <w:spacing w:after="0" w:line="240" w:lineRule="auto"/>
        <w:jc w:val="both"/>
        <w:rPr>
          <w:u w:val="single"/>
        </w:rPr>
      </w:pPr>
    </w:p>
    <w:p w14:paraId="131EB06F" w14:textId="5523673D" w:rsidR="00756474" w:rsidRPr="00A14719" w:rsidRDefault="00756474" w:rsidP="00A14719">
      <w:pPr>
        <w:spacing w:after="0" w:line="240" w:lineRule="auto"/>
        <w:jc w:val="both"/>
        <w:rPr>
          <w:b/>
          <w:sz w:val="24"/>
          <w:szCs w:val="24"/>
        </w:rPr>
      </w:pPr>
      <w:r w:rsidRPr="00A14719">
        <w:rPr>
          <w:b/>
          <w:sz w:val="24"/>
          <w:szCs w:val="24"/>
        </w:rPr>
        <w:t xml:space="preserve">3.1 Economic implication of </w:t>
      </w:r>
      <w:r w:rsidR="0088659F" w:rsidRPr="0088659F">
        <w:rPr>
          <w:b/>
          <w:sz w:val="24"/>
          <w:szCs w:val="24"/>
        </w:rPr>
        <w:t>graduation</w:t>
      </w:r>
      <w:r w:rsidRPr="00A14719">
        <w:rPr>
          <w:b/>
          <w:sz w:val="24"/>
          <w:szCs w:val="24"/>
        </w:rPr>
        <w:t xml:space="preserve"> </w:t>
      </w:r>
    </w:p>
    <w:p w14:paraId="2262FF72" w14:textId="77777777" w:rsidR="00756474" w:rsidRDefault="00756474" w:rsidP="00A14719">
      <w:pPr>
        <w:spacing w:after="0" w:line="240" w:lineRule="auto"/>
        <w:jc w:val="both"/>
        <w:rPr>
          <w:u w:val="single"/>
        </w:rPr>
      </w:pPr>
    </w:p>
    <w:p w14:paraId="387A2FFA" w14:textId="40800F05" w:rsidR="00C94BFF" w:rsidRPr="00A14719" w:rsidRDefault="00052A93" w:rsidP="00C94BFF">
      <w:pPr>
        <w:spacing w:after="0" w:line="240" w:lineRule="auto"/>
        <w:jc w:val="both"/>
      </w:pPr>
      <w:r>
        <w:rPr>
          <w:b/>
          <w:sz w:val="24"/>
          <w:szCs w:val="24"/>
        </w:rPr>
        <w:t xml:space="preserve">3.1.1. </w:t>
      </w:r>
      <w:r w:rsidR="00AC3625" w:rsidRPr="00A14719">
        <w:rPr>
          <w:b/>
          <w:sz w:val="24"/>
          <w:szCs w:val="24"/>
        </w:rPr>
        <w:t>External f</w:t>
      </w:r>
      <w:r w:rsidR="00C94BFF" w:rsidRPr="00A14719">
        <w:rPr>
          <w:b/>
          <w:sz w:val="24"/>
          <w:szCs w:val="24"/>
        </w:rPr>
        <w:t>inanc</w:t>
      </w:r>
      <w:r w:rsidR="00AC3625" w:rsidRPr="00A14719">
        <w:rPr>
          <w:b/>
          <w:sz w:val="24"/>
          <w:szCs w:val="24"/>
        </w:rPr>
        <w:t xml:space="preserve">ing </w:t>
      </w:r>
    </w:p>
    <w:p w14:paraId="3705F184" w14:textId="77777777" w:rsidR="00B11A54" w:rsidRDefault="00B11A54" w:rsidP="00C94BFF">
      <w:pPr>
        <w:spacing w:after="0" w:line="240" w:lineRule="auto"/>
        <w:jc w:val="both"/>
      </w:pPr>
    </w:p>
    <w:p w14:paraId="672692B0" w14:textId="4FFAD05F" w:rsidR="00052A93" w:rsidRDefault="00AC3625" w:rsidP="00C94BFF">
      <w:pPr>
        <w:spacing w:after="0" w:line="240" w:lineRule="auto"/>
        <w:jc w:val="both"/>
      </w:pPr>
      <w:r>
        <w:t xml:space="preserve">Overall, while graduation may entail some costs in terms of reduced concessional of official flows and reduced access to climate financing, it is unlikely to result in abrupt changes in countries’ access to other development finance or to private flows such as FDI. </w:t>
      </w:r>
      <w:r w:rsidR="00052A93">
        <w:t xml:space="preserve">The experiences of the LDG graduates to date also suggest that government can attenuate graduation costs related to ODA flows significantly by engaging proactively with key development partners at an early stage to negotiate ad-hoc transitional arrangements. </w:t>
      </w:r>
    </w:p>
    <w:p w14:paraId="33EF6D0E" w14:textId="77777777" w:rsidR="00052A93" w:rsidRDefault="00052A93" w:rsidP="00C94BFF">
      <w:pPr>
        <w:spacing w:after="0" w:line="240" w:lineRule="auto"/>
        <w:jc w:val="both"/>
      </w:pPr>
    </w:p>
    <w:p w14:paraId="428F59B2" w14:textId="66BF5244" w:rsidR="00C94BFF" w:rsidRDefault="00052A93" w:rsidP="00C94BFF">
      <w:pPr>
        <w:spacing w:after="0" w:line="240" w:lineRule="auto"/>
        <w:jc w:val="both"/>
      </w:pPr>
      <w:r>
        <w:t>For Lao PDR, a</w:t>
      </w:r>
      <w:r w:rsidR="00C94BFF" w:rsidRPr="00F97B01">
        <w:t>lmost entire external financial flows</w:t>
      </w:r>
      <w:r w:rsidR="00C94BFF">
        <w:t xml:space="preserve"> </w:t>
      </w:r>
      <w:r w:rsidR="00C94BFF" w:rsidRPr="00F97B01">
        <w:t>are from three major trading partners: Thailand, Viet Nam and Chin</w:t>
      </w:r>
      <w:r w:rsidR="00C94BFF">
        <w:t xml:space="preserve">a. </w:t>
      </w:r>
      <w:r w:rsidR="00C94BFF" w:rsidRPr="00F97B01">
        <w:t>Major source of infrastructure financing of Lao PDR</w:t>
      </w:r>
      <w:r w:rsidR="00C94BFF">
        <w:t xml:space="preserve">, apart from the neighbouring countries, is coming from </w:t>
      </w:r>
      <w:r w:rsidR="00C94BFF" w:rsidRPr="00F97B01">
        <w:t>multilateral agencies such as the W</w:t>
      </w:r>
      <w:r w:rsidR="00C94BFF">
        <w:t>orld Bank</w:t>
      </w:r>
      <w:r w:rsidR="00C94BFF" w:rsidRPr="00F97B01">
        <w:t xml:space="preserve">, IMF </w:t>
      </w:r>
      <w:r w:rsidR="00C94BFF">
        <w:t>and</w:t>
      </w:r>
      <w:r w:rsidR="00C94BFF" w:rsidRPr="00F97B01">
        <w:t xml:space="preserve"> Asia Development Bank and to a smaller extent Japan;</w:t>
      </w:r>
      <w:r w:rsidR="00C94BFF">
        <w:t xml:space="preserve"> </w:t>
      </w:r>
      <w:r w:rsidR="00C94BFF" w:rsidRPr="00F97B01">
        <w:t>With the emergence of Asia Infrastructure Bank and BRICs Bank the trend is expected to continue</w:t>
      </w:r>
      <w:r w:rsidR="00C94BFF">
        <w:t xml:space="preserve">. </w:t>
      </w:r>
      <w:r w:rsidR="00C94BFF" w:rsidRPr="00F97B01">
        <w:t>None of the</w:t>
      </w:r>
      <w:r w:rsidR="00C94BFF">
        <w:t>se</w:t>
      </w:r>
      <w:r w:rsidR="00C94BFF" w:rsidRPr="00F97B01">
        <w:t xml:space="preserve"> financing sources appear to be influenced b</w:t>
      </w:r>
      <w:r w:rsidR="00C94BFF">
        <w:t xml:space="preserve">y LDC status in the case of Lao PDR. </w:t>
      </w:r>
    </w:p>
    <w:p w14:paraId="4ED41017" w14:textId="77777777" w:rsidR="00C94BFF" w:rsidRDefault="00C94BFF" w:rsidP="00A14719">
      <w:pPr>
        <w:spacing w:after="0" w:line="240" w:lineRule="auto"/>
        <w:jc w:val="both"/>
        <w:rPr>
          <w:u w:val="single"/>
        </w:rPr>
      </w:pPr>
    </w:p>
    <w:p w14:paraId="3CDD1845" w14:textId="54C3F37D" w:rsidR="00F97B01" w:rsidRPr="00A14719" w:rsidRDefault="00052A93" w:rsidP="00A14719">
      <w:pPr>
        <w:spacing w:after="0" w:line="240" w:lineRule="auto"/>
        <w:jc w:val="both"/>
        <w:rPr>
          <w:b/>
          <w:sz w:val="24"/>
          <w:szCs w:val="24"/>
        </w:rPr>
      </w:pPr>
      <w:r>
        <w:rPr>
          <w:b/>
          <w:sz w:val="24"/>
          <w:szCs w:val="24"/>
        </w:rPr>
        <w:t xml:space="preserve">3.1.2 </w:t>
      </w:r>
      <w:r w:rsidRPr="00A14719">
        <w:rPr>
          <w:b/>
          <w:sz w:val="24"/>
          <w:szCs w:val="24"/>
        </w:rPr>
        <w:t xml:space="preserve">Trade preferences </w:t>
      </w:r>
    </w:p>
    <w:p w14:paraId="26AEE20D" w14:textId="77777777" w:rsidR="00743749" w:rsidRDefault="00743749" w:rsidP="00A14719">
      <w:pPr>
        <w:spacing w:after="0" w:line="240" w:lineRule="auto"/>
        <w:jc w:val="both"/>
      </w:pPr>
    </w:p>
    <w:p w14:paraId="32C7413C" w14:textId="39DAF101" w:rsidR="007D60CD" w:rsidRPr="00A14719" w:rsidRDefault="00E9462C" w:rsidP="00A14719">
      <w:pPr>
        <w:pStyle w:val="p1"/>
        <w:jc w:val="both"/>
        <w:rPr>
          <w:rFonts w:asciiTheme="minorHAnsi" w:hAnsiTheme="minorHAnsi"/>
          <w:sz w:val="22"/>
          <w:szCs w:val="22"/>
        </w:rPr>
      </w:pPr>
      <w:r>
        <w:rPr>
          <w:rFonts w:asciiTheme="minorHAnsi" w:hAnsiTheme="minorHAnsi"/>
          <w:sz w:val="22"/>
          <w:szCs w:val="22"/>
        </w:rPr>
        <w:t xml:space="preserve">In general, </w:t>
      </w:r>
      <w:r w:rsidR="00EC539D" w:rsidRPr="00A14719">
        <w:rPr>
          <w:rFonts w:asciiTheme="minorHAnsi" w:hAnsiTheme="minorHAnsi"/>
          <w:sz w:val="22"/>
          <w:szCs w:val="22"/>
        </w:rPr>
        <w:t>LDC graduation entails the loss of</w:t>
      </w:r>
      <w:r>
        <w:rPr>
          <w:rFonts w:asciiTheme="minorHAnsi" w:hAnsiTheme="minorHAnsi"/>
          <w:sz w:val="22"/>
          <w:szCs w:val="22"/>
        </w:rPr>
        <w:t xml:space="preserve"> </w:t>
      </w:r>
      <w:r w:rsidR="00EC539D" w:rsidRPr="00A14719">
        <w:rPr>
          <w:rFonts w:asciiTheme="minorHAnsi" w:hAnsiTheme="minorHAnsi"/>
          <w:sz w:val="22"/>
          <w:szCs w:val="22"/>
        </w:rPr>
        <w:t>preferential market access under</w:t>
      </w:r>
      <w:r>
        <w:rPr>
          <w:rFonts w:asciiTheme="minorHAnsi" w:hAnsiTheme="minorHAnsi"/>
          <w:sz w:val="22"/>
          <w:szCs w:val="22"/>
        </w:rPr>
        <w:t xml:space="preserve"> </w:t>
      </w:r>
      <w:r w:rsidR="00EC539D" w:rsidRPr="00A14719">
        <w:rPr>
          <w:rFonts w:asciiTheme="minorHAnsi" w:hAnsiTheme="minorHAnsi"/>
          <w:sz w:val="22"/>
          <w:szCs w:val="22"/>
        </w:rPr>
        <w:t>LDC-specific schemes.</w:t>
      </w:r>
      <w:r>
        <w:rPr>
          <w:rFonts w:asciiTheme="minorHAnsi" w:hAnsiTheme="minorHAnsi"/>
          <w:sz w:val="22"/>
          <w:szCs w:val="22"/>
        </w:rPr>
        <w:t xml:space="preserve"> </w:t>
      </w:r>
      <w:r w:rsidR="007D60CD" w:rsidRPr="00A14719">
        <w:rPr>
          <w:rFonts w:asciiTheme="minorHAnsi" w:hAnsiTheme="minorHAnsi"/>
          <w:sz w:val="22"/>
          <w:szCs w:val="22"/>
        </w:rPr>
        <w:t>The impact of graduation depends</w:t>
      </w:r>
      <w:r>
        <w:rPr>
          <w:rFonts w:asciiTheme="minorHAnsi" w:hAnsiTheme="minorHAnsi"/>
          <w:sz w:val="22"/>
          <w:szCs w:val="22"/>
        </w:rPr>
        <w:t xml:space="preserve"> </w:t>
      </w:r>
      <w:r w:rsidR="007D60CD" w:rsidRPr="00A14719">
        <w:rPr>
          <w:rFonts w:asciiTheme="minorHAnsi" w:hAnsiTheme="minorHAnsi"/>
          <w:sz w:val="22"/>
          <w:szCs w:val="22"/>
        </w:rPr>
        <w:t>on the interplay between the</w:t>
      </w:r>
      <w:r>
        <w:rPr>
          <w:rFonts w:asciiTheme="minorHAnsi" w:hAnsiTheme="minorHAnsi"/>
          <w:sz w:val="22"/>
          <w:szCs w:val="22"/>
        </w:rPr>
        <w:t xml:space="preserve"> </w:t>
      </w:r>
      <w:r w:rsidR="007D60CD" w:rsidRPr="00A14719">
        <w:rPr>
          <w:rFonts w:asciiTheme="minorHAnsi" w:hAnsiTheme="minorHAnsi"/>
          <w:sz w:val="22"/>
          <w:szCs w:val="22"/>
        </w:rPr>
        <w:t>features of each scheme and</w:t>
      </w:r>
      <w:r>
        <w:rPr>
          <w:rFonts w:asciiTheme="minorHAnsi" w:hAnsiTheme="minorHAnsi"/>
          <w:sz w:val="22"/>
          <w:szCs w:val="22"/>
        </w:rPr>
        <w:t xml:space="preserve"> </w:t>
      </w:r>
      <w:r w:rsidR="007D60CD" w:rsidRPr="00A14719">
        <w:rPr>
          <w:rFonts w:asciiTheme="minorHAnsi" w:hAnsiTheme="minorHAnsi"/>
          <w:sz w:val="22"/>
          <w:szCs w:val="22"/>
        </w:rPr>
        <w:t>each LDC's export patterns</w:t>
      </w:r>
      <w:r>
        <w:rPr>
          <w:rFonts w:asciiTheme="minorHAnsi" w:hAnsiTheme="minorHAnsi"/>
          <w:sz w:val="22"/>
          <w:szCs w:val="22"/>
        </w:rPr>
        <w:t xml:space="preserve"> and the tariffs applicable to its exports after graduation, which may be affected by other trade agreements. The cost of graduation depends in part upon which other LDCs have already graduated because the value of preferential market access increases as other LDCs lose such access to graduation. </w:t>
      </w:r>
    </w:p>
    <w:p w14:paraId="4E3A32E7" w14:textId="77777777" w:rsidR="00F97B01" w:rsidRDefault="00F97B01" w:rsidP="00A14719">
      <w:pPr>
        <w:spacing w:after="0" w:line="240" w:lineRule="auto"/>
        <w:jc w:val="both"/>
        <w:rPr>
          <w:b/>
        </w:rPr>
      </w:pPr>
    </w:p>
    <w:p w14:paraId="35A4582A" w14:textId="5F2E8C42" w:rsidR="004573EF" w:rsidRPr="00A14719" w:rsidRDefault="00E9462C" w:rsidP="004573EF">
      <w:pPr>
        <w:widowControl w:val="0"/>
        <w:autoSpaceDE w:val="0"/>
        <w:autoSpaceDN w:val="0"/>
        <w:adjustRightInd w:val="0"/>
        <w:spacing w:after="0" w:line="240" w:lineRule="auto"/>
        <w:jc w:val="both"/>
        <w:rPr>
          <w:rFonts w:cs="Times New Roman"/>
        </w:rPr>
      </w:pPr>
      <w:r w:rsidRPr="00A14719">
        <w:rPr>
          <w:rFonts w:cs="Times New Roman"/>
        </w:rPr>
        <w:t xml:space="preserve">In case of </w:t>
      </w:r>
      <w:r w:rsidR="004573EF" w:rsidRPr="00A14719">
        <w:rPr>
          <w:rFonts w:cs="Times New Roman"/>
        </w:rPr>
        <w:t>Lao PDR</w:t>
      </w:r>
      <w:r w:rsidRPr="00A14719">
        <w:rPr>
          <w:rFonts w:cs="Times New Roman"/>
        </w:rPr>
        <w:t xml:space="preserve">, the country joined WTO as an LDC. </w:t>
      </w:r>
      <w:r w:rsidR="004573EF" w:rsidRPr="00A14719">
        <w:rPr>
          <w:rFonts w:cs="Times New Roman"/>
        </w:rPr>
        <w:t>It should (potentially) be receiving some or all the advantages under S&amp;D, even after graduating out of the LDC category. Lao PDR has not participated in the GSTP yet, so its LDC status does not matter in this regard. But Lao PDR’s exports are permitted, mainly into the EU, under the GSP with minimal or no tariffs or quotas. Thus, the LDC graduation could potentially affect Lao PDR’s exports to the EU; however, this is highly unlikely given the current composition and direction of Lao PDR’s exports (dominated by the resource sector and three non-European importing countries).</w:t>
      </w:r>
      <w:r w:rsidR="003C030A" w:rsidRPr="00AF7E0A">
        <w:t xml:space="preserve"> Therefore, overall, after graduation, Lao PDR will continue benefiting LDC-Specific S&amp;D Measures during a transition period. The country still will have opportunities to maximize benefits from S&amp;D provisions for developing countries</w:t>
      </w:r>
      <w:r w:rsidR="003C030A" w:rsidRPr="00AF7E0A">
        <w:rPr>
          <w:lang w:val="en-US"/>
        </w:rPr>
        <w:t xml:space="preserve">. </w:t>
      </w:r>
      <w:r w:rsidR="003C030A" w:rsidRPr="00AF7E0A">
        <w:t>Close to 80% of its international trade is with developing countries of which neighbouring countries account a significant share.</w:t>
      </w:r>
    </w:p>
    <w:p w14:paraId="29F87659" w14:textId="77777777" w:rsidR="00393516" w:rsidRDefault="00393516" w:rsidP="00A14719">
      <w:pPr>
        <w:spacing w:after="0" w:line="240" w:lineRule="auto"/>
        <w:jc w:val="both"/>
        <w:rPr>
          <w:u w:val="single"/>
        </w:rPr>
      </w:pPr>
    </w:p>
    <w:p w14:paraId="3BE0EDA7" w14:textId="77777777" w:rsidR="00393516" w:rsidRDefault="00393516" w:rsidP="00A14719">
      <w:pPr>
        <w:spacing w:after="0" w:line="240" w:lineRule="auto"/>
        <w:jc w:val="both"/>
        <w:rPr>
          <w:u w:val="single"/>
        </w:rPr>
      </w:pPr>
    </w:p>
    <w:p w14:paraId="38778254" w14:textId="77777777" w:rsidR="00533A88" w:rsidRDefault="00533A88" w:rsidP="00A14719">
      <w:pPr>
        <w:spacing w:after="0" w:line="240" w:lineRule="auto"/>
        <w:jc w:val="both"/>
      </w:pPr>
    </w:p>
    <w:p w14:paraId="3B45B21E" w14:textId="238FA9E1" w:rsidR="00756474" w:rsidRPr="00A14719" w:rsidRDefault="00B05550" w:rsidP="00A14719">
      <w:pPr>
        <w:spacing w:after="0" w:line="240" w:lineRule="auto"/>
        <w:jc w:val="both"/>
        <w:rPr>
          <w:b/>
          <w:sz w:val="24"/>
          <w:szCs w:val="24"/>
        </w:rPr>
      </w:pPr>
      <w:r w:rsidRPr="00A14719">
        <w:rPr>
          <w:b/>
          <w:sz w:val="24"/>
          <w:szCs w:val="24"/>
        </w:rPr>
        <w:lastRenderedPageBreak/>
        <w:t>3.1.3 Special and diffe</w:t>
      </w:r>
      <w:r w:rsidR="00383BC8" w:rsidRPr="00A14719">
        <w:rPr>
          <w:b/>
          <w:sz w:val="24"/>
          <w:szCs w:val="24"/>
        </w:rPr>
        <w:t xml:space="preserve">rential treatment </w:t>
      </w:r>
    </w:p>
    <w:p w14:paraId="1A7C09C6" w14:textId="77777777" w:rsidR="00383BC8" w:rsidRDefault="00383BC8" w:rsidP="00A14719">
      <w:pPr>
        <w:spacing w:after="0" w:line="240" w:lineRule="auto"/>
        <w:jc w:val="both"/>
      </w:pPr>
    </w:p>
    <w:p w14:paraId="78036004" w14:textId="3BEF251D" w:rsidR="00FC4244" w:rsidRPr="00A14719" w:rsidRDefault="00FC4244" w:rsidP="00A14719">
      <w:pPr>
        <w:pStyle w:val="p1"/>
        <w:jc w:val="both"/>
        <w:rPr>
          <w:rFonts w:asciiTheme="minorHAnsi" w:hAnsiTheme="minorHAnsi"/>
          <w:sz w:val="22"/>
          <w:szCs w:val="22"/>
        </w:rPr>
      </w:pPr>
      <w:r w:rsidRPr="00A14719">
        <w:rPr>
          <w:rFonts w:asciiTheme="minorHAnsi" w:hAnsiTheme="minorHAnsi"/>
          <w:sz w:val="22"/>
          <w:szCs w:val="22"/>
        </w:rPr>
        <w:t>Overall, any losses arising from the</w:t>
      </w:r>
      <w:r w:rsidR="00B14E6F">
        <w:rPr>
          <w:rFonts w:asciiTheme="minorHAnsi" w:hAnsiTheme="minorHAnsi"/>
          <w:sz w:val="22"/>
          <w:szCs w:val="22"/>
        </w:rPr>
        <w:t xml:space="preserve"> </w:t>
      </w:r>
      <w:r w:rsidRPr="00A14719">
        <w:rPr>
          <w:rFonts w:asciiTheme="minorHAnsi" w:hAnsiTheme="minorHAnsi"/>
          <w:sz w:val="22"/>
          <w:szCs w:val="22"/>
        </w:rPr>
        <w:t>phasing out of LDC-specific support are in most cases likely to be relatively</w:t>
      </w:r>
      <w:r w:rsidR="00B14E6F">
        <w:rPr>
          <w:rFonts w:asciiTheme="minorHAnsi" w:hAnsiTheme="minorHAnsi"/>
          <w:sz w:val="22"/>
          <w:szCs w:val="22"/>
        </w:rPr>
        <w:t xml:space="preserve"> </w:t>
      </w:r>
      <w:r w:rsidRPr="00A14719">
        <w:rPr>
          <w:rFonts w:asciiTheme="minorHAnsi" w:hAnsiTheme="minorHAnsi"/>
          <w:sz w:val="22"/>
          <w:szCs w:val="22"/>
        </w:rPr>
        <w:t>limited. Graduating countries can generally fall back on non-LDC-specific</w:t>
      </w:r>
      <w:r w:rsidR="00B14E6F">
        <w:rPr>
          <w:rFonts w:asciiTheme="minorHAnsi" w:hAnsiTheme="minorHAnsi"/>
          <w:sz w:val="22"/>
          <w:szCs w:val="22"/>
        </w:rPr>
        <w:t xml:space="preserve"> support measures </w:t>
      </w:r>
      <w:r w:rsidRPr="00A14719">
        <w:rPr>
          <w:rFonts w:asciiTheme="minorHAnsi" w:hAnsiTheme="minorHAnsi"/>
          <w:sz w:val="22"/>
          <w:szCs w:val="22"/>
        </w:rPr>
        <w:t>(such as different financing windows, other types of</w:t>
      </w:r>
      <w:r w:rsidR="00B14E6F">
        <w:rPr>
          <w:rFonts w:asciiTheme="minorHAnsi" w:hAnsiTheme="minorHAnsi"/>
          <w:sz w:val="22"/>
          <w:szCs w:val="22"/>
        </w:rPr>
        <w:t xml:space="preserve"> </w:t>
      </w:r>
      <w:r w:rsidRPr="00A14719">
        <w:rPr>
          <w:rFonts w:asciiTheme="minorHAnsi" w:hAnsiTheme="minorHAnsi"/>
          <w:sz w:val="22"/>
          <w:szCs w:val="22"/>
        </w:rPr>
        <w:t>preferential treatment, and SDT provisions for ODCs), which, though less</w:t>
      </w:r>
      <w:r w:rsidR="00B14E6F">
        <w:rPr>
          <w:rFonts w:asciiTheme="minorHAnsi" w:hAnsiTheme="minorHAnsi"/>
          <w:sz w:val="22"/>
          <w:szCs w:val="22"/>
        </w:rPr>
        <w:t xml:space="preserve"> </w:t>
      </w:r>
      <w:r w:rsidRPr="00A14719">
        <w:rPr>
          <w:rFonts w:asciiTheme="minorHAnsi" w:hAnsiTheme="minorHAnsi"/>
          <w:sz w:val="22"/>
          <w:szCs w:val="22"/>
        </w:rPr>
        <w:t>generous than those available to them bef</w:t>
      </w:r>
      <w:r w:rsidR="00B14E6F">
        <w:rPr>
          <w:rFonts w:asciiTheme="minorHAnsi" w:hAnsiTheme="minorHAnsi"/>
          <w:sz w:val="22"/>
          <w:szCs w:val="22"/>
        </w:rPr>
        <w:t xml:space="preserve">ore graduation, still provide a </w:t>
      </w:r>
      <w:r w:rsidRPr="00A14719">
        <w:rPr>
          <w:rFonts w:asciiTheme="minorHAnsi" w:hAnsiTheme="minorHAnsi"/>
          <w:sz w:val="22"/>
          <w:szCs w:val="22"/>
        </w:rPr>
        <w:t>certain</w:t>
      </w:r>
      <w:r w:rsidR="00B14E6F">
        <w:rPr>
          <w:rFonts w:asciiTheme="minorHAnsi" w:hAnsiTheme="minorHAnsi"/>
          <w:sz w:val="22"/>
          <w:szCs w:val="22"/>
        </w:rPr>
        <w:t xml:space="preserve"> </w:t>
      </w:r>
      <w:r w:rsidRPr="00A14719">
        <w:rPr>
          <w:rFonts w:asciiTheme="minorHAnsi" w:hAnsiTheme="minorHAnsi"/>
          <w:sz w:val="22"/>
          <w:szCs w:val="22"/>
        </w:rPr>
        <w:t>degree of support. This is the counterpart of the shortcomings of LDC-specific</w:t>
      </w:r>
      <w:r w:rsidR="00B14E6F">
        <w:rPr>
          <w:rFonts w:asciiTheme="minorHAnsi" w:hAnsiTheme="minorHAnsi"/>
          <w:sz w:val="22"/>
          <w:szCs w:val="22"/>
        </w:rPr>
        <w:t xml:space="preserve"> </w:t>
      </w:r>
      <w:r w:rsidRPr="00A14719">
        <w:rPr>
          <w:rFonts w:asciiTheme="minorHAnsi" w:hAnsiTheme="minorHAnsi"/>
          <w:sz w:val="22"/>
          <w:szCs w:val="22"/>
        </w:rPr>
        <w:t>ISMs that the loss of eligibility for them can be</w:t>
      </w:r>
      <w:r w:rsidR="00B14E6F">
        <w:rPr>
          <w:rFonts w:asciiTheme="minorHAnsi" w:hAnsiTheme="minorHAnsi"/>
          <w:sz w:val="22"/>
          <w:szCs w:val="22"/>
        </w:rPr>
        <w:t xml:space="preserve"> </w:t>
      </w:r>
      <w:r w:rsidRPr="00A14719">
        <w:rPr>
          <w:rFonts w:asciiTheme="minorHAnsi" w:hAnsiTheme="minorHAnsi"/>
          <w:sz w:val="22"/>
          <w:szCs w:val="22"/>
        </w:rPr>
        <w:t>expected to have a com</w:t>
      </w:r>
      <w:r w:rsidR="00B14E6F">
        <w:rPr>
          <w:rFonts w:asciiTheme="minorHAnsi" w:hAnsiTheme="minorHAnsi"/>
          <w:sz w:val="22"/>
          <w:szCs w:val="22"/>
        </w:rPr>
        <w:t xml:space="preserve">mensurately limited impact, and </w:t>
      </w:r>
      <w:r w:rsidRPr="00A14719">
        <w:rPr>
          <w:rFonts w:asciiTheme="minorHAnsi" w:hAnsiTheme="minorHAnsi"/>
          <w:sz w:val="22"/>
          <w:szCs w:val="22"/>
        </w:rPr>
        <w:t>certainly should not be</w:t>
      </w:r>
      <w:r w:rsidR="00B14E6F">
        <w:rPr>
          <w:rFonts w:asciiTheme="minorHAnsi" w:hAnsiTheme="minorHAnsi"/>
          <w:sz w:val="22"/>
          <w:szCs w:val="22"/>
        </w:rPr>
        <w:t xml:space="preserve"> </w:t>
      </w:r>
      <w:r w:rsidRPr="00A14719">
        <w:rPr>
          <w:rFonts w:asciiTheme="minorHAnsi" w:hAnsiTheme="minorHAnsi"/>
          <w:sz w:val="22"/>
          <w:szCs w:val="22"/>
        </w:rPr>
        <w:t>insurmountable. This is confirmed by the experiences of past graduates.</w:t>
      </w:r>
    </w:p>
    <w:p w14:paraId="51F055EB" w14:textId="77777777" w:rsidR="00756474" w:rsidRDefault="00756474" w:rsidP="00A14719">
      <w:pPr>
        <w:spacing w:after="0" w:line="240" w:lineRule="auto"/>
        <w:jc w:val="both"/>
      </w:pPr>
    </w:p>
    <w:p w14:paraId="0C1CE926" w14:textId="21C3549D" w:rsidR="00756474" w:rsidRDefault="00756474" w:rsidP="00A14719">
      <w:pPr>
        <w:spacing w:after="0" w:line="240" w:lineRule="auto"/>
        <w:jc w:val="both"/>
        <w:rPr>
          <w:b/>
          <w:sz w:val="24"/>
          <w:szCs w:val="24"/>
        </w:rPr>
      </w:pPr>
      <w:r w:rsidRPr="00A14719">
        <w:rPr>
          <w:b/>
          <w:sz w:val="24"/>
          <w:szCs w:val="24"/>
        </w:rPr>
        <w:t xml:space="preserve">3.2 Post-graduation challenges </w:t>
      </w:r>
    </w:p>
    <w:p w14:paraId="6F01C192" w14:textId="77777777" w:rsidR="00170BBD" w:rsidRPr="00A14719" w:rsidRDefault="00170BBD" w:rsidP="00A14719">
      <w:pPr>
        <w:spacing w:after="0" w:line="240" w:lineRule="auto"/>
        <w:jc w:val="both"/>
        <w:rPr>
          <w:b/>
          <w:sz w:val="24"/>
          <w:szCs w:val="24"/>
        </w:rPr>
      </w:pPr>
    </w:p>
    <w:p w14:paraId="0DA8DA17" w14:textId="7F79A827" w:rsidR="00756474" w:rsidRPr="00A14719" w:rsidRDefault="00B74B1B" w:rsidP="00A14719">
      <w:pPr>
        <w:spacing w:after="0" w:line="240" w:lineRule="auto"/>
        <w:jc w:val="both"/>
        <w:rPr>
          <w:b/>
          <w:sz w:val="24"/>
          <w:szCs w:val="24"/>
        </w:rPr>
      </w:pPr>
      <w:r w:rsidRPr="00A14719">
        <w:rPr>
          <w:b/>
          <w:sz w:val="24"/>
          <w:szCs w:val="24"/>
        </w:rPr>
        <w:t xml:space="preserve">3.2.1 Persistent commodity dependence </w:t>
      </w:r>
    </w:p>
    <w:p w14:paraId="5D91BD9C" w14:textId="77777777" w:rsidR="00756474" w:rsidRDefault="00756474" w:rsidP="00A14719">
      <w:pPr>
        <w:spacing w:after="0" w:line="240" w:lineRule="auto"/>
        <w:jc w:val="both"/>
      </w:pPr>
    </w:p>
    <w:p w14:paraId="150C7F57" w14:textId="5021EE74" w:rsidR="00C6053D" w:rsidRPr="00A14719" w:rsidRDefault="00444EE6" w:rsidP="00A14719">
      <w:pPr>
        <w:spacing w:after="0" w:line="240" w:lineRule="auto"/>
        <w:jc w:val="both"/>
      </w:pPr>
      <w:r w:rsidRPr="00A14719">
        <w:t>LDC graduation is unlikely to affect Lao PDR’s exports. Rather, the country should use the graduation momentum to upgrade its industrial structure and commodity production, including raising agricultural productivity as part of its economic diversification and modernization drive.</w:t>
      </w:r>
    </w:p>
    <w:p w14:paraId="07CEE82D" w14:textId="77777777" w:rsidR="00C6053D" w:rsidRPr="00A14719" w:rsidRDefault="00C6053D" w:rsidP="00A14719">
      <w:pPr>
        <w:spacing w:after="0" w:line="240" w:lineRule="auto"/>
        <w:jc w:val="both"/>
        <w:rPr>
          <w:sz w:val="24"/>
          <w:szCs w:val="24"/>
        </w:rPr>
      </w:pPr>
    </w:p>
    <w:p w14:paraId="27ADB721" w14:textId="00F2567B" w:rsidR="00C6053D" w:rsidRPr="00A14719" w:rsidRDefault="00C6053D" w:rsidP="00A14719">
      <w:pPr>
        <w:spacing w:after="0" w:line="240" w:lineRule="auto"/>
        <w:jc w:val="both"/>
        <w:rPr>
          <w:b/>
          <w:sz w:val="24"/>
          <w:szCs w:val="24"/>
        </w:rPr>
      </w:pPr>
      <w:r w:rsidRPr="00A14719">
        <w:rPr>
          <w:b/>
          <w:sz w:val="24"/>
          <w:szCs w:val="24"/>
        </w:rPr>
        <w:t xml:space="preserve">3.2.2 The risk of reversion </w:t>
      </w:r>
    </w:p>
    <w:p w14:paraId="4E5729FB" w14:textId="77777777" w:rsidR="00C6053D" w:rsidRPr="00A14719" w:rsidRDefault="00C6053D" w:rsidP="00A14719">
      <w:pPr>
        <w:spacing w:after="0" w:line="240" w:lineRule="auto"/>
        <w:jc w:val="both"/>
        <w:rPr>
          <w:sz w:val="24"/>
          <w:szCs w:val="24"/>
        </w:rPr>
      </w:pPr>
    </w:p>
    <w:p w14:paraId="6BEC6D6B" w14:textId="0CFC46FB" w:rsidR="00C6053D" w:rsidRPr="00A14719" w:rsidRDefault="006639D4" w:rsidP="00A14719">
      <w:pPr>
        <w:spacing w:after="0" w:line="240" w:lineRule="auto"/>
        <w:jc w:val="both"/>
      </w:pPr>
      <w:r w:rsidRPr="00A14719">
        <w:t xml:space="preserve">The LDC classification system is </w:t>
      </w:r>
      <w:r w:rsidR="00AF7E0A" w:rsidRPr="00A14719">
        <w:t>designed to limit</w:t>
      </w:r>
      <w:r w:rsidRPr="00A14719">
        <w:t xml:space="preserve"> the risk of graduating countries reverting to LDC status, but such revision is not impossible. </w:t>
      </w:r>
      <w:r w:rsidR="00ED5508" w:rsidRPr="00A14719">
        <w:t xml:space="preserve">For some LDCs, environmental vulnerability is particularly </w:t>
      </w:r>
      <w:proofErr w:type="gramStart"/>
      <w:r w:rsidR="00ED5508" w:rsidRPr="00A14719">
        <w:t>important</w:t>
      </w:r>
      <w:proofErr w:type="gramEnd"/>
      <w:r w:rsidR="00ED5508" w:rsidRPr="00A14719">
        <w:t xml:space="preserve"> and the risk of reversion may be increased </w:t>
      </w:r>
      <w:r w:rsidR="00170BBD" w:rsidRPr="00A14719">
        <w:t xml:space="preserve">by a more challenging global economic environment. </w:t>
      </w:r>
    </w:p>
    <w:p w14:paraId="321E17F7" w14:textId="77777777" w:rsidR="00421D2E" w:rsidRPr="00A14719" w:rsidRDefault="00421D2E" w:rsidP="00A14719">
      <w:pPr>
        <w:spacing w:after="0" w:line="240" w:lineRule="auto"/>
        <w:jc w:val="both"/>
      </w:pPr>
    </w:p>
    <w:p w14:paraId="4572D421" w14:textId="5583466A" w:rsidR="00421D2E" w:rsidRPr="00A14719" w:rsidRDefault="00421D2E" w:rsidP="00A14719">
      <w:pPr>
        <w:spacing w:after="0" w:line="240" w:lineRule="auto"/>
        <w:jc w:val="both"/>
        <w:rPr>
          <w:b/>
          <w:sz w:val="24"/>
          <w:szCs w:val="24"/>
        </w:rPr>
      </w:pPr>
      <w:r w:rsidRPr="00A14719">
        <w:rPr>
          <w:b/>
          <w:sz w:val="24"/>
          <w:szCs w:val="24"/>
        </w:rPr>
        <w:t xml:space="preserve">3.2.3 The middle-income trap </w:t>
      </w:r>
    </w:p>
    <w:p w14:paraId="111B0B0A" w14:textId="77777777" w:rsidR="00421D2E" w:rsidRPr="00A14719" w:rsidRDefault="00421D2E" w:rsidP="00A14719">
      <w:pPr>
        <w:spacing w:after="0" w:line="240" w:lineRule="auto"/>
        <w:jc w:val="both"/>
        <w:rPr>
          <w:sz w:val="24"/>
          <w:szCs w:val="24"/>
        </w:rPr>
      </w:pPr>
    </w:p>
    <w:p w14:paraId="1E7118AC" w14:textId="4C4474B7" w:rsidR="00755CF9" w:rsidRPr="00A14719" w:rsidRDefault="00755CF9" w:rsidP="00A14719">
      <w:pPr>
        <w:pStyle w:val="p1"/>
        <w:jc w:val="both"/>
        <w:rPr>
          <w:rFonts w:asciiTheme="minorHAnsi" w:hAnsiTheme="minorHAnsi"/>
          <w:sz w:val="22"/>
          <w:szCs w:val="22"/>
        </w:rPr>
      </w:pPr>
      <w:r>
        <w:rPr>
          <w:rStyle w:val="apple-converted-space"/>
          <w:rFonts w:asciiTheme="minorHAnsi" w:hAnsiTheme="minorHAnsi"/>
          <w:sz w:val="22"/>
          <w:szCs w:val="22"/>
        </w:rPr>
        <w:t>A</w:t>
      </w:r>
      <w:r w:rsidRPr="00A14719">
        <w:rPr>
          <w:rFonts w:asciiTheme="minorHAnsi" w:hAnsiTheme="minorHAnsi"/>
          <w:sz w:val="22"/>
          <w:szCs w:val="22"/>
        </w:rPr>
        <w:t>ll LDC graduates</w:t>
      </w:r>
      <w:r>
        <w:rPr>
          <w:rFonts w:asciiTheme="minorHAnsi" w:hAnsiTheme="minorHAnsi"/>
          <w:sz w:val="22"/>
          <w:szCs w:val="22"/>
        </w:rPr>
        <w:t xml:space="preserve"> </w:t>
      </w:r>
      <w:r w:rsidRPr="00A14719">
        <w:rPr>
          <w:rFonts w:asciiTheme="minorHAnsi" w:hAnsiTheme="minorHAnsi"/>
          <w:sz w:val="22"/>
          <w:szCs w:val="22"/>
        </w:rPr>
        <w:t>remain in the middle-income group, suggesting that the persistence of structural</w:t>
      </w:r>
    </w:p>
    <w:p w14:paraId="0EBB7BFE" w14:textId="5C8280AC" w:rsidR="00755CF9" w:rsidRPr="00A14719" w:rsidRDefault="00755CF9" w:rsidP="00A14719">
      <w:pPr>
        <w:pStyle w:val="p1"/>
        <w:jc w:val="both"/>
        <w:rPr>
          <w:rFonts w:asciiTheme="minorHAnsi" w:hAnsiTheme="minorHAnsi"/>
          <w:sz w:val="22"/>
          <w:szCs w:val="22"/>
        </w:rPr>
      </w:pPr>
      <w:r w:rsidRPr="00A14719">
        <w:rPr>
          <w:rFonts w:asciiTheme="minorHAnsi" w:hAnsiTheme="minorHAnsi"/>
          <w:sz w:val="22"/>
          <w:szCs w:val="22"/>
        </w:rPr>
        <w:t>vulnerabilities, from infrastructure gaps to low levels of human capital, may limit</w:t>
      </w:r>
      <w:r>
        <w:rPr>
          <w:rFonts w:asciiTheme="minorHAnsi" w:hAnsiTheme="minorHAnsi"/>
          <w:sz w:val="22"/>
          <w:szCs w:val="22"/>
        </w:rPr>
        <w:t xml:space="preserve"> their ability to progress </w:t>
      </w:r>
      <w:r w:rsidRPr="00A14719">
        <w:rPr>
          <w:rFonts w:asciiTheme="minorHAnsi" w:hAnsiTheme="minorHAnsi"/>
          <w:sz w:val="22"/>
          <w:szCs w:val="22"/>
        </w:rPr>
        <w:t>to the high-income category.</w:t>
      </w:r>
      <w:r>
        <w:rPr>
          <w:rFonts w:asciiTheme="minorHAnsi" w:hAnsiTheme="minorHAnsi"/>
          <w:sz w:val="22"/>
          <w:szCs w:val="22"/>
        </w:rPr>
        <w:t xml:space="preserve"> </w:t>
      </w:r>
      <w:r w:rsidRPr="00A14719">
        <w:rPr>
          <w:rFonts w:asciiTheme="minorHAnsi" w:hAnsiTheme="minorHAnsi"/>
          <w:sz w:val="22"/>
          <w:szCs w:val="22"/>
        </w:rPr>
        <w:t>The challenges of economic convergence are demonstrated by the relatively</w:t>
      </w:r>
      <w:r>
        <w:rPr>
          <w:rFonts w:asciiTheme="minorHAnsi" w:hAnsiTheme="minorHAnsi"/>
          <w:sz w:val="22"/>
          <w:szCs w:val="22"/>
        </w:rPr>
        <w:t xml:space="preserve"> </w:t>
      </w:r>
      <w:r w:rsidRPr="00A14719">
        <w:rPr>
          <w:rFonts w:asciiTheme="minorHAnsi" w:hAnsiTheme="minorHAnsi"/>
          <w:sz w:val="22"/>
          <w:szCs w:val="22"/>
        </w:rPr>
        <w:t>low (and arguably declining) probability of moving from low- and middle-income</w:t>
      </w:r>
      <w:r>
        <w:rPr>
          <w:rFonts w:asciiTheme="minorHAnsi" w:hAnsiTheme="minorHAnsi"/>
          <w:sz w:val="22"/>
          <w:szCs w:val="22"/>
        </w:rPr>
        <w:t xml:space="preserve"> </w:t>
      </w:r>
      <w:r w:rsidRPr="00A14719">
        <w:rPr>
          <w:rFonts w:asciiTheme="minorHAnsi" w:hAnsiTheme="minorHAnsi"/>
          <w:sz w:val="22"/>
          <w:szCs w:val="22"/>
        </w:rPr>
        <w:t>groups to high-income level, and the increasing probability of falling back</w:t>
      </w:r>
      <w:r>
        <w:rPr>
          <w:rFonts w:asciiTheme="minorHAnsi" w:hAnsiTheme="minorHAnsi"/>
          <w:sz w:val="22"/>
          <w:szCs w:val="22"/>
        </w:rPr>
        <w:t xml:space="preserve"> </w:t>
      </w:r>
      <w:r w:rsidRPr="00A14719">
        <w:rPr>
          <w:rFonts w:asciiTheme="minorHAnsi" w:hAnsiTheme="minorHAnsi"/>
          <w:sz w:val="22"/>
          <w:szCs w:val="22"/>
        </w:rPr>
        <w:t xml:space="preserve">into </w:t>
      </w:r>
      <w:r>
        <w:rPr>
          <w:rFonts w:asciiTheme="minorHAnsi" w:hAnsiTheme="minorHAnsi"/>
          <w:sz w:val="22"/>
          <w:szCs w:val="22"/>
        </w:rPr>
        <w:t xml:space="preserve">a lower category. While there is no </w:t>
      </w:r>
      <w:r w:rsidRPr="00A14719">
        <w:rPr>
          <w:rFonts w:asciiTheme="minorHAnsi" w:hAnsiTheme="minorHAnsi"/>
          <w:sz w:val="22"/>
          <w:szCs w:val="22"/>
        </w:rPr>
        <w:t>consensus on a</w:t>
      </w:r>
      <w:r>
        <w:rPr>
          <w:rFonts w:asciiTheme="minorHAnsi" w:hAnsiTheme="minorHAnsi"/>
          <w:sz w:val="22"/>
          <w:szCs w:val="22"/>
        </w:rPr>
        <w:t xml:space="preserve"> </w:t>
      </w:r>
      <w:r w:rsidRPr="00A14719">
        <w:rPr>
          <w:rFonts w:asciiTheme="minorHAnsi" w:hAnsiTheme="minorHAnsi"/>
          <w:sz w:val="22"/>
          <w:szCs w:val="22"/>
        </w:rPr>
        <w:t xml:space="preserve">rigorous definition of </w:t>
      </w:r>
      <w:r>
        <w:rPr>
          <w:rFonts w:asciiTheme="minorHAnsi" w:hAnsiTheme="minorHAnsi"/>
          <w:sz w:val="22"/>
          <w:szCs w:val="22"/>
        </w:rPr>
        <w:t>the middle-income trap</w:t>
      </w:r>
      <w:r w:rsidRPr="00A14719">
        <w:rPr>
          <w:rFonts w:asciiTheme="minorHAnsi" w:hAnsiTheme="minorHAnsi"/>
          <w:sz w:val="22"/>
          <w:szCs w:val="22"/>
        </w:rPr>
        <w:t>, or even on its existence,</w:t>
      </w:r>
      <w:r>
        <w:rPr>
          <w:rFonts w:asciiTheme="minorHAnsi" w:hAnsiTheme="minorHAnsi"/>
          <w:sz w:val="22"/>
          <w:szCs w:val="22"/>
        </w:rPr>
        <w:t xml:space="preserve"> </w:t>
      </w:r>
      <w:r w:rsidRPr="00A14719">
        <w:rPr>
          <w:rFonts w:asciiTheme="minorHAnsi" w:hAnsiTheme="minorHAnsi"/>
          <w:sz w:val="22"/>
          <w:szCs w:val="22"/>
        </w:rPr>
        <w:t>the concept can provide insights into the policy challenges that productivity</w:t>
      </w:r>
      <w:r w:rsidR="00B14E6F">
        <w:rPr>
          <w:rFonts w:asciiTheme="minorHAnsi" w:hAnsiTheme="minorHAnsi"/>
          <w:sz w:val="22"/>
          <w:szCs w:val="22"/>
        </w:rPr>
        <w:t xml:space="preserve"> </w:t>
      </w:r>
      <w:r w:rsidRPr="00A14719">
        <w:rPr>
          <w:rFonts w:asciiTheme="minorHAnsi" w:hAnsiTheme="minorHAnsi"/>
          <w:sz w:val="22"/>
          <w:szCs w:val="22"/>
        </w:rPr>
        <w:t>slowdowns and other key transitions present for structural transformation and</w:t>
      </w:r>
      <w:r w:rsidR="00B14E6F">
        <w:rPr>
          <w:rFonts w:asciiTheme="minorHAnsi" w:hAnsiTheme="minorHAnsi"/>
          <w:sz w:val="22"/>
          <w:szCs w:val="22"/>
        </w:rPr>
        <w:t xml:space="preserve"> graduation with momentum. </w:t>
      </w:r>
      <w:r w:rsidRPr="00A14719">
        <w:rPr>
          <w:rFonts w:asciiTheme="minorHAnsi" w:hAnsiTheme="minorHAnsi"/>
          <w:sz w:val="22"/>
          <w:szCs w:val="22"/>
        </w:rPr>
        <w:t xml:space="preserve"> </w:t>
      </w:r>
    </w:p>
    <w:p w14:paraId="5FB09453" w14:textId="77777777" w:rsidR="00C6053D" w:rsidRPr="00170BBD" w:rsidRDefault="00C6053D" w:rsidP="00A14719">
      <w:pPr>
        <w:spacing w:after="0" w:line="240" w:lineRule="auto"/>
        <w:jc w:val="both"/>
      </w:pPr>
    </w:p>
    <w:p w14:paraId="6E59E20A" w14:textId="324D7438" w:rsidR="00756474" w:rsidRPr="00A14719" w:rsidRDefault="00756474" w:rsidP="00A14719">
      <w:pPr>
        <w:spacing w:after="0" w:line="240" w:lineRule="auto"/>
        <w:jc w:val="both"/>
        <w:rPr>
          <w:b/>
          <w:sz w:val="24"/>
          <w:szCs w:val="24"/>
        </w:rPr>
      </w:pPr>
      <w:r w:rsidRPr="00A14719">
        <w:rPr>
          <w:b/>
          <w:sz w:val="24"/>
          <w:szCs w:val="24"/>
        </w:rPr>
        <w:t xml:space="preserve">3.3 The post-graduation development paths of the past graduates </w:t>
      </w:r>
    </w:p>
    <w:p w14:paraId="094189BB" w14:textId="77777777" w:rsidR="00756474" w:rsidRPr="00170BBD" w:rsidRDefault="00756474" w:rsidP="00A14719">
      <w:pPr>
        <w:spacing w:after="0" w:line="240" w:lineRule="auto"/>
        <w:jc w:val="both"/>
      </w:pPr>
    </w:p>
    <w:p w14:paraId="44AE3723" w14:textId="17C7B252" w:rsidR="001F0E01" w:rsidRPr="00A14719" w:rsidRDefault="001F0E01" w:rsidP="00A14719">
      <w:pPr>
        <w:spacing w:after="0" w:line="240" w:lineRule="auto"/>
        <w:jc w:val="both"/>
        <w:rPr>
          <w:b/>
          <w:sz w:val="24"/>
          <w:szCs w:val="24"/>
        </w:rPr>
      </w:pPr>
      <w:r w:rsidRPr="00A14719">
        <w:rPr>
          <w:b/>
          <w:sz w:val="24"/>
          <w:szCs w:val="24"/>
        </w:rPr>
        <w:t xml:space="preserve">3.3.1 External debt </w:t>
      </w:r>
    </w:p>
    <w:p w14:paraId="77A3ED41" w14:textId="77777777" w:rsidR="001F0E01" w:rsidRPr="00A14719" w:rsidRDefault="001F0E01" w:rsidP="001F0E01">
      <w:pPr>
        <w:pStyle w:val="NormalWeb"/>
        <w:widowControl w:val="0"/>
        <w:shd w:val="clear" w:color="auto" w:fill="FFFFFF"/>
        <w:spacing w:before="0" w:beforeAutospacing="0" w:after="0" w:afterAutospacing="0"/>
        <w:jc w:val="both"/>
        <w:textAlignment w:val="baseline"/>
        <w:rPr>
          <w:rFonts w:asciiTheme="minorHAnsi" w:hAnsiTheme="minorHAnsi"/>
          <w:sz w:val="24"/>
          <w:szCs w:val="24"/>
          <w:lang w:val="en-GB"/>
        </w:rPr>
      </w:pPr>
    </w:p>
    <w:p w14:paraId="447D87DD" w14:textId="479F03D4" w:rsidR="001F0E01" w:rsidRPr="00A14719" w:rsidRDefault="006E62DA" w:rsidP="001F0E01">
      <w:pPr>
        <w:pStyle w:val="NormalWeb"/>
        <w:widowControl w:val="0"/>
        <w:shd w:val="clear" w:color="auto" w:fill="FFFFFF"/>
        <w:spacing w:before="0" w:beforeAutospacing="0" w:after="0" w:afterAutospacing="0"/>
        <w:jc w:val="both"/>
        <w:textAlignment w:val="baseline"/>
        <w:rPr>
          <w:rFonts w:asciiTheme="minorHAnsi" w:hAnsiTheme="minorHAnsi"/>
          <w:sz w:val="22"/>
          <w:szCs w:val="22"/>
          <w:lang w:val="en-GB"/>
        </w:rPr>
      </w:pPr>
      <w:r w:rsidRPr="00A14719">
        <w:rPr>
          <w:rFonts w:asciiTheme="minorHAnsi" w:hAnsiTheme="minorHAnsi"/>
          <w:sz w:val="22"/>
          <w:szCs w:val="22"/>
          <w:lang w:val="en-GB"/>
        </w:rPr>
        <w:t xml:space="preserve">From the experience of three recent graduate </w:t>
      </w:r>
      <w:r w:rsidR="002C395D" w:rsidRPr="00A14719">
        <w:rPr>
          <w:rFonts w:asciiTheme="minorHAnsi" w:hAnsiTheme="minorHAnsi"/>
          <w:sz w:val="22"/>
          <w:szCs w:val="22"/>
          <w:lang w:val="en-GB"/>
        </w:rPr>
        <w:t xml:space="preserve">(Cabo Verde, Maldives, and Samoa) </w:t>
      </w:r>
      <w:r w:rsidRPr="00A14719">
        <w:rPr>
          <w:rFonts w:asciiTheme="minorHAnsi" w:hAnsiTheme="minorHAnsi"/>
          <w:sz w:val="22"/>
          <w:szCs w:val="22"/>
          <w:lang w:val="en-GB"/>
        </w:rPr>
        <w:t xml:space="preserve">except Botswana, indebtedness has risen substantially since graduation. Growing debt reflects persistent weakness in external balance. </w:t>
      </w:r>
      <w:r w:rsidR="001F0E01" w:rsidRPr="00A14719">
        <w:rPr>
          <w:rFonts w:asciiTheme="minorHAnsi" w:hAnsiTheme="minorHAnsi"/>
          <w:sz w:val="22"/>
          <w:szCs w:val="22"/>
          <w:lang w:val="en-GB"/>
        </w:rPr>
        <w:t>When Lao PDR graduates out of LDC status, the debt situation might become a little more serious as the loan component in the external assistance inflow will rise, and not all of it would be on easy terms. Lao PDR might nee</w:t>
      </w:r>
      <w:r w:rsidRPr="00A14719">
        <w:rPr>
          <w:rFonts w:asciiTheme="minorHAnsi" w:hAnsiTheme="minorHAnsi"/>
          <w:sz w:val="22"/>
          <w:szCs w:val="22"/>
          <w:lang w:val="en-GB"/>
        </w:rPr>
        <w:t xml:space="preserve">d a long-term debt rescheduling. </w:t>
      </w:r>
    </w:p>
    <w:p w14:paraId="7C00ED18" w14:textId="77777777" w:rsidR="001F0E01" w:rsidRPr="006E62DA" w:rsidRDefault="001F0E01" w:rsidP="00A14719">
      <w:pPr>
        <w:spacing w:after="0" w:line="240" w:lineRule="auto"/>
        <w:jc w:val="both"/>
      </w:pPr>
    </w:p>
    <w:p w14:paraId="4A94AB54" w14:textId="477D2325" w:rsidR="001F0E01" w:rsidRPr="00A14719" w:rsidRDefault="006E62DA" w:rsidP="00A14719">
      <w:pPr>
        <w:spacing w:after="0" w:line="240" w:lineRule="auto"/>
        <w:jc w:val="both"/>
        <w:rPr>
          <w:b/>
          <w:sz w:val="24"/>
          <w:szCs w:val="24"/>
        </w:rPr>
      </w:pPr>
      <w:r w:rsidRPr="00A14719">
        <w:rPr>
          <w:b/>
          <w:sz w:val="24"/>
          <w:szCs w:val="24"/>
        </w:rPr>
        <w:t xml:space="preserve">3.3.2 Official Development Assistance and Foreign Direct Investment </w:t>
      </w:r>
    </w:p>
    <w:p w14:paraId="44713EA5" w14:textId="77777777" w:rsidR="006E62DA" w:rsidRPr="006E62DA" w:rsidRDefault="006E62DA" w:rsidP="00A14719">
      <w:pPr>
        <w:spacing w:after="0" w:line="240" w:lineRule="auto"/>
        <w:jc w:val="both"/>
      </w:pPr>
    </w:p>
    <w:p w14:paraId="7E0EE205" w14:textId="77777777" w:rsidR="00424E76" w:rsidRPr="005253AC" w:rsidRDefault="00424E76" w:rsidP="00424E76">
      <w:pPr>
        <w:spacing w:after="0" w:line="240" w:lineRule="auto"/>
        <w:jc w:val="both"/>
        <w:rPr>
          <w:rFonts w:ascii="Times New Roman" w:hAnsi="Times New Roman" w:cs="Times New Roman"/>
          <w:sz w:val="24"/>
          <w:szCs w:val="24"/>
        </w:rPr>
      </w:pPr>
    </w:p>
    <w:p w14:paraId="1C01C6C4" w14:textId="36541FE1" w:rsidR="00424E76" w:rsidRPr="00A14719" w:rsidRDefault="00424E76" w:rsidP="00424E76">
      <w:pPr>
        <w:spacing w:after="0" w:line="240" w:lineRule="auto"/>
        <w:jc w:val="both"/>
        <w:rPr>
          <w:rFonts w:cs="Times New Roman"/>
        </w:rPr>
      </w:pPr>
      <w:r w:rsidRPr="00A14719">
        <w:rPr>
          <w:rFonts w:cs="Times New Roman"/>
        </w:rPr>
        <w:t xml:space="preserve">ODA disbursements, de facto, are decided by the DP countries’ priorities, which are drawn up according to their </w:t>
      </w:r>
      <w:r w:rsidRPr="00A14719">
        <w:rPr>
          <w:rFonts w:cs="Times New Roman"/>
          <w:i/>
        </w:rPr>
        <w:t>global</w:t>
      </w:r>
      <w:r w:rsidRPr="00A14719">
        <w:rPr>
          <w:rFonts w:cs="Times New Roman"/>
        </w:rPr>
        <w:t xml:space="preserve"> commitments. While international declarations related to LDCs are a guiding principle, they are not binding. In fact, there has been a fall in ODA disbursements in all of Asia as Asian countries have moved up the development ladder compared with, say, African countries, and Lao PDR is not an exception.</w:t>
      </w:r>
    </w:p>
    <w:p w14:paraId="35C1F9B2" w14:textId="5EC8DB61" w:rsidR="00393516" w:rsidRPr="00A14719" w:rsidRDefault="00393516" w:rsidP="00393516">
      <w:pPr>
        <w:spacing w:after="0" w:line="240" w:lineRule="auto"/>
        <w:jc w:val="both"/>
        <w:rPr>
          <w:rFonts w:cs="Times New Roman"/>
        </w:rPr>
      </w:pPr>
      <w:r w:rsidRPr="00A14719">
        <w:rPr>
          <w:rFonts w:cs="Times New Roman"/>
        </w:rPr>
        <w:t xml:space="preserve">Lao PDR has been able to attract </w:t>
      </w:r>
      <w:proofErr w:type="gramStart"/>
      <w:r w:rsidRPr="00A14719">
        <w:rPr>
          <w:rFonts w:cs="Times New Roman"/>
        </w:rPr>
        <w:t>a number of</w:t>
      </w:r>
      <w:proofErr w:type="gramEnd"/>
      <w:r w:rsidRPr="00A14719">
        <w:rPr>
          <w:rFonts w:cs="Times New Roman"/>
        </w:rPr>
        <w:t xml:space="preserve"> multinational companies, during the past few years, resulting in rapid growth in the assembly and equipment parts sectors. With this development, Lao PDR began exporting equipment parts (such as camera parts)</w:t>
      </w:r>
      <w:r w:rsidR="00AF7E0A">
        <w:rPr>
          <w:rFonts w:cs="Times New Roman"/>
        </w:rPr>
        <w:t xml:space="preserve">. </w:t>
      </w:r>
      <w:r w:rsidRPr="00A14719">
        <w:rPr>
          <w:rFonts w:cs="Times New Roman"/>
        </w:rPr>
        <w:t>This shows that Lao PDR can effectively participate in regional and global value chains. Improved AEC connectivity is likely to enhance this prospect.</w:t>
      </w:r>
    </w:p>
    <w:p w14:paraId="6D94F009" w14:textId="77777777" w:rsidR="00393516" w:rsidRPr="00A14719" w:rsidRDefault="00393516" w:rsidP="00393516">
      <w:pPr>
        <w:spacing w:after="0" w:line="240" w:lineRule="auto"/>
        <w:jc w:val="both"/>
        <w:rPr>
          <w:rFonts w:cs="Times New Roman"/>
        </w:rPr>
      </w:pPr>
    </w:p>
    <w:p w14:paraId="05C98953" w14:textId="187B266C" w:rsidR="00393516" w:rsidRPr="00A14719" w:rsidRDefault="00AF7E0A" w:rsidP="00393516">
      <w:pPr>
        <w:spacing w:after="0" w:line="240" w:lineRule="auto"/>
        <w:jc w:val="both"/>
        <w:rPr>
          <w:rFonts w:cs="Times New Roman"/>
        </w:rPr>
      </w:pPr>
      <w:r>
        <w:rPr>
          <w:rFonts w:cs="Times New Roman"/>
        </w:rPr>
        <w:t>In term of Foreign Direct Investment, s</w:t>
      </w:r>
      <w:r w:rsidR="00393516" w:rsidRPr="00A14719">
        <w:rPr>
          <w:rFonts w:eastAsia="Times New Roman" w:cs="Times New Roman"/>
        </w:rPr>
        <w:t xml:space="preserve">ince </w:t>
      </w:r>
      <w:r w:rsidR="00393516" w:rsidRPr="00A14719">
        <w:rPr>
          <w:rFonts w:cs="Times New Roman"/>
        </w:rPr>
        <w:t xml:space="preserve">the rules and regulations of doing business would align more closely across all the countries, the ease of doing business would also become greater. Some sectors in which Lao PDR may gain comparative advantage due to AEC integration are </w:t>
      </w:r>
      <w:proofErr w:type="spellStart"/>
      <w:r w:rsidR="00393516" w:rsidRPr="00A14719">
        <w:rPr>
          <w:rFonts w:cs="Times New Roman"/>
        </w:rPr>
        <w:t>agro</w:t>
      </w:r>
      <w:proofErr w:type="spellEnd"/>
      <w:r w:rsidR="00393516" w:rsidRPr="00A14719">
        <w:rPr>
          <w:rFonts w:cs="Times New Roman"/>
        </w:rPr>
        <w:t xml:space="preserve">-processing (from the emerging agricultural surplus, including in tea and coffee), value-added tourism, mechanical and electrical goods assembly, </w:t>
      </w:r>
      <w:r w:rsidR="00393516" w:rsidRPr="00A14719">
        <w:rPr>
          <w:rFonts w:cs="Times New Roman"/>
          <w:color w:val="000090"/>
        </w:rPr>
        <w:t>e</w:t>
      </w:r>
      <w:r w:rsidR="00393516" w:rsidRPr="00A14719">
        <w:rPr>
          <w:rFonts w:cs="Times New Roman"/>
        </w:rPr>
        <w:t>lectricity generation and mining. With the free flow of skilled workers there is the possibility of more skilled workers coming to Lao PDR, which should help the transfer of technology/skills to Lao workers.</w:t>
      </w:r>
    </w:p>
    <w:p w14:paraId="3D4CDDF8" w14:textId="77777777" w:rsidR="00393516" w:rsidRDefault="00393516" w:rsidP="00393516">
      <w:pPr>
        <w:spacing w:after="0" w:line="240" w:lineRule="auto"/>
        <w:jc w:val="both"/>
        <w:rPr>
          <w:rFonts w:ascii="Times New Roman" w:hAnsi="Times New Roman" w:cs="Times New Roman"/>
          <w:sz w:val="24"/>
          <w:szCs w:val="24"/>
        </w:rPr>
      </w:pPr>
    </w:p>
    <w:p w14:paraId="48EC3C73" w14:textId="13A86EC9" w:rsidR="00393516" w:rsidRPr="00A14719" w:rsidRDefault="00D13C04" w:rsidP="00393516">
      <w:pPr>
        <w:spacing w:after="0" w:line="240" w:lineRule="auto"/>
        <w:jc w:val="both"/>
        <w:rPr>
          <w:rFonts w:cs="Times New Roman"/>
          <w:b/>
          <w:sz w:val="24"/>
          <w:szCs w:val="24"/>
        </w:rPr>
      </w:pPr>
      <w:r w:rsidRPr="00A14719">
        <w:rPr>
          <w:rFonts w:cs="Times New Roman"/>
          <w:b/>
          <w:sz w:val="24"/>
          <w:szCs w:val="24"/>
        </w:rPr>
        <w:t>3.3.3 Eco</w:t>
      </w:r>
      <w:r w:rsidR="00393516" w:rsidRPr="00A14719">
        <w:rPr>
          <w:rFonts w:cs="Times New Roman"/>
          <w:b/>
          <w:sz w:val="24"/>
          <w:szCs w:val="24"/>
        </w:rPr>
        <w:t xml:space="preserve">nomic diversification policies </w:t>
      </w:r>
    </w:p>
    <w:p w14:paraId="29D7DAF3" w14:textId="77777777" w:rsidR="00393516" w:rsidRDefault="00393516" w:rsidP="00393516">
      <w:pPr>
        <w:spacing w:after="0" w:line="240" w:lineRule="auto"/>
        <w:jc w:val="both"/>
        <w:rPr>
          <w:rFonts w:ascii="Times New Roman" w:hAnsi="Times New Roman" w:cs="Times New Roman"/>
          <w:sz w:val="24"/>
          <w:szCs w:val="24"/>
        </w:rPr>
      </w:pPr>
    </w:p>
    <w:p w14:paraId="48AA3776" w14:textId="7FBC6D36" w:rsidR="000C775E" w:rsidRPr="00A14719" w:rsidRDefault="00D13C04" w:rsidP="00393516">
      <w:pPr>
        <w:spacing w:after="0" w:line="240" w:lineRule="auto"/>
        <w:jc w:val="both"/>
        <w:rPr>
          <w:rFonts w:cs="Times New Roman"/>
        </w:rPr>
      </w:pPr>
      <w:r w:rsidRPr="00A14719">
        <w:rPr>
          <w:rFonts w:cs="Times New Roman"/>
        </w:rPr>
        <w:t>From the experience of the recent four graduates, they have achieved varyin</w:t>
      </w:r>
      <w:r w:rsidR="000C775E" w:rsidRPr="00A14719">
        <w:rPr>
          <w:rFonts w:cs="Times New Roman"/>
        </w:rPr>
        <w:t xml:space="preserve">g degrees of structural changes, but they all remain dependent on the export sector that led them to graduation. Therefore, their experience underlies the need for policies to promote diversification even after gradation </w:t>
      </w:r>
    </w:p>
    <w:p w14:paraId="3E310E1E" w14:textId="77777777" w:rsidR="000C775E" w:rsidRPr="00A14719" w:rsidRDefault="000C775E" w:rsidP="00393516">
      <w:pPr>
        <w:spacing w:after="0" w:line="240" w:lineRule="auto"/>
        <w:jc w:val="both"/>
        <w:rPr>
          <w:rFonts w:cs="Times New Roman"/>
        </w:rPr>
      </w:pPr>
    </w:p>
    <w:p w14:paraId="2A2F32DA" w14:textId="57A09FE2" w:rsidR="00393516" w:rsidRPr="00A14719" w:rsidRDefault="000C775E" w:rsidP="00393516">
      <w:pPr>
        <w:spacing w:after="0" w:line="240" w:lineRule="auto"/>
        <w:jc w:val="both"/>
        <w:rPr>
          <w:rFonts w:cs="Times New Roman"/>
        </w:rPr>
      </w:pPr>
      <w:r>
        <w:rPr>
          <w:rFonts w:cs="Times New Roman"/>
        </w:rPr>
        <w:t>For Lao PDR, its</w:t>
      </w:r>
      <w:r w:rsidR="00393516" w:rsidRPr="00A14719">
        <w:rPr>
          <w:rFonts w:cs="Times New Roman"/>
        </w:rPr>
        <w:t xml:space="preserve"> economy lacks the structural economic transformation and diversification required for smooth LDC graduation. The major part of recent GDP growth has stemmed from low-productivity agriculture and the capital-intensive natural resources sector. Although the share of agriculture in GDP declined from 41% to 27%, its share in employment did not decline commensurately, still accounting for over 60% of the economy’s total working hours. The fast-growing mining, electricity and gas sector accounts for only 1% of total working hours. The manufacturing sector’s share in total working hours stagnated at 8% during 2008-2013. Thus, Lao PDR’s growth has not been inclusive and broad based. </w:t>
      </w:r>
      <w:r>
        <w:rPr>
          <w:rFonts w:cs="Times New Roman"/>
        </w:rPr>
        <w:t xml:space="preserve">Therefore, greater efforts are much needed to promote diversification and to enhance the competitiveness of domestic industries through systematic productivity improvements. </w:t>
      </w:r>
    </w:p>
    <w:p w14:paraId="264D87A9" w14:textId="77777777" w:rsidR="00393516" w:rsidRPr="00A14719" w:rsidRDefault="00393516" w:rsidP="00393516">
      <w:pPr>
        <w:spacing w:after="0" w:line="240" w:lineRule="auto"/>
        <w:jc w:val="both"/>
        <w:rPr>
          <w:rFonts w:cs="Times New Roman"/>
        </w:rPr>
      </w:pPr>
    </w:p>
    <w:p w14:paraId="482279E4" w14:textId="77777777" w:rsidR="000C775E" w:rsidRPr="00A14719" w:rsidRDefault="000C775E" w:rsidP="00A14719">
      <w:pPr>
        <w:tabs>
          <w:tab w:val="left" w:pos="1200"/>
        </w:tabs>
        <w:spacing w:after="0" w:line="240" w:lineRule="auto"/>
        <w:jc w:val="both"/>
        <w:rPr>
          <w:b/>
          <w:sz w:val="24"/>
          <w:szCs w:val="24"/>
        </w:rPr>
      </w:pPr>
      <w:r w:rsidRPr="00A14719">
        <w:rPr>
          <w:b/>
          <w:sz w:val="24"/>
          <w:szCs w:val="24"/>
        </w:rPr>
        <w:t xml:space="preserve">3.3.4 Poverty and inequality </w:t>
      </w:r>
    </w:p>
    <w:p w14:paraId="2CC34F10" w14:textId="77777777" w:rsidR="000C232D" w:rsidRPr="005253AC" w:rsidRDefault="000C232D" w:rsidP="000C232D">
      <w:pPr>
        <w:spacing w:after="0" w:line="240" w:lineRule="auto"/>
        <w:jc w:val="both"/>
        <w:rPr>
          <w:rFonts w:ascii="Times New Roman" w:hAnsi="Times New Roman" w:cs="Times New Roman"/>
          <w:sz w:val="24"/>
          <w:szCs w:val="24"/>
        </w:rPr>
      </w:pPr>
    </w:p>
    <w:p w14:paraId="5BBCDCB2" w14:textId="50EB1AFE" w:rsidR="000C232D" w:rsidRPr="00A14719" w:rsidRDefault="000C232D" w:rsidP="000C232D">
      <w:pPr>
        <w:spacing w:after="0" w:line="240" w:lineRule="auto"/>
        <w:jc w:val="both"/>
        <w:rPr>
          <w:rFonts w:cs="Times New Roman"/>
        </w:rPr>
      </w:pPr>
      <w:r w:rsidRPr="00A14719">
        <w:rPr>
          <w:rFonts w:cs="Times New Roman"/>
        </w:rPr>
        <w:t xml:space="preserve">Lao PDR has made </w:t>
      </w:r>
      <w:proofErr w:type="gramStart"/>
      <w:r w:rsidRPr="00A14719">
        <w:rPr>
          <w:rFonts w:cs="Times New Roman"/>
        </w:rPr>
        <w:t>significant progress</w:t>
      </w:r>
      <w:proofErr w:type="gramEnd"/>
      <w:r w:rsidRPr="00A14719">
        <w:rPr>
          <w:rFonts w:cs="Times New Roman"/>
        </w:rPr>
        <w:t xml:space="preserve"> in poverty reduction. However, the achievements have not been even and are tainted by a rise in disparities, both vertical and horizontal. Poverty reduction and human development would have been much faster had there been no deterioration in inequalities in various dimensions., if inequality had not changed, national poverty incidence would have fallen 28% more rapidly than it </w:t>
      </w:r>
      <w:proofErr w:type="gramStart"/>
      <w:r w:rsidRPr="00A14719">
        <w:rPr>
          <w:rFonts w:cs="Times New Roman"/>
        </w:rPr>
        <w:t>actually did</w:t>
      </w:r>
      <w:proofErr w:type="gramEnd"/>
      <w:r w:rsidRPr="00A14719">
        <w:rPr>
          <w:rFonts w:cs="Times New Roman"/>
        </w:rPr>
        <w:t xml:space="preserve">. The pace has been further impaired by high vulnerability, which saw </w:t>
      </w:r>
      <w:proofErr w:type="gramStart"/>
      <w:r w:rsidRPr="00A14719">
        <w:rPr>
          <w:rFonts w:cs="Times New Roman"/>
        </w:rPr>
        <w:t>a significant number</w:t>
      </w:r>
      <w:proofErr w:type="gramEnd"/>
      <w:r w:rsidRPr="00A14719">
        <w:rPr>
          <w:rFonts w:cs="Times New Roman"/>
        </w:rPr>
        <w:t xml:space="preserve"> of previously non-poor households falling back into poverty. The rate of poverty reduction and human development has also been slow relative to the recent high rate of economic growth in Lao PDR. One of the main reasons for worsening inequality is the lack of broad-based growth and failure to generate productive employment in sufficient numbers to pull the growing labour force up from low productivity agriculture. </w:t>
      </w:r>
    </w:p>
    <w:p w14:paraId="283CE6BA" w14:textId="0DC84DE7" w:rsidR="00533A88" w:rsidRPr="00A14719" w:rsidRDefault="00533A88" w:rsidP="00A14719">
      <w:pPr>
        <w:tabs>
          <w:tab w:val="left" w:pos="1200"/>
        </w:tabs>
        <w:spacing w:after="0" w:line="240" w:lineRule="auto"/>
        <w:jc w:val="both"/>
        <w:rPr>
          <w:b/>
        </w:rPr>
      </w:pPr>
    </w:p>
    <w:sectPr w:rsidR="00533A88" w:rsidRPr="00A14719" w:rsidSect="00A14719">
      <w:pgSz w:w="12240" w:h="15840"/>
      <w:pgMar w:top="1188" w:right="1440" w:bottom="1151" w:left="1440" w:header="720" w:footer="98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5BAD1D" w14:textId="77777777" w:rsidR="000D32AA" w:rsidRDefault="000D32AA" w:rsidP="00F97B01">
      <w:pPr>
        <w:spacing w:after="0" w:line="240" w:lineRule="auto"/>
      </w:pPr>
      <w:r>
        <w:separator/>
      </w:r>
    </w:p>
  </w:endnote>
  <w:endnote w:type="continuationSeparator" w:id="0">
    <w:p w14:paraId="34461EDB" w14:textId="77777777" w:rsidR="000D32AA" w:rsidRDefault="000D32AA" w:rsidP="00F97B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altName w:val="Calibr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auto"/>
    <w:pitch w:val="variable"/>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46B05" w14:textId="77777777" w:rsidR="00FB701E" w:rsidRDefault="00FB701E" w:rsidP="00FF560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27297">
      <w:rPr>
        <w:rStyle w:val="PageNumber"/>
        <w:noProof/>
      </w:rPr>
      <w:t>6</w:t>
    </w:r>
    <w:r>
      <w:rPr>
        <w:rStyle w:val="PageNumber"/>
      </w:rPr>
      <w:fldChar w:fldCharType="end"/>
    </w:r>
  </w:p>
  <w:p w14:paraId="0FA34115" w14:textId="77777777" w:rsidR="00FB701E" w:rsidRDefault="00FB701E" w:rsidP="00A1471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11522" w14:textId="05EAC720" w:rsidR="00FB701E" w:rsidRDefault="00FB701E" w:rsidP="00FF560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D46A7">
      <w:rPr>
        <w:rStyle w:val="PageNumber"/>
        <w:noProof/>
      </w:rPr>
      <w:t>11</w:t>
    </w:r>
    <w:r>
      <w:rPr>
        <w:rStyle w:val="PageNumber"/>
      </w:rPr>
      <w:fldChar w:fldCharType="end"/>
    </w:r>
  </w:p>
  <w:p w14:paraId="5C34F830" w14:textId="44BBF611" w:rsidR="00533A88" w:rsidRDefault="00533A88" w:rsidP="00A14719">
    <w:pPr>
      <w:pStyle w:val="Footer"/>
      <w:ind w:right="360"/>
      <w:jc w:val="center"/>
    </w:pPr>
  </w:p>
  <w:p w14:paraId="77221F4D" w14:textId="77777777" w:rsidR="00533A88" w:rsidRDefault="00533A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D29D29" w14:textId="77777777" w:rsidR="00727297" w:rsidRDefault="00727297" w:rsidP="00FF560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30BAFBAF" w14:textId="64219EE7" w:rsidR="00727297" w:rsidRDefault="00727297" w:rsidP="00A1471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B5587F" w14:textId="77777777" w:rsidR="000D32AA" w:rsidRDefault="000D32AA" w:rsidP="00F97B01">
      <w:pPr>
        <w:spacing w:after="0" w:line="240" w:lineRule="auto"/>
      </w:pPr>
      <w:r>
        <w:separator/>
      </w:r>
    </w:p>
  </w:footnote>
  <w:footnote w:type="continuationSeparator" w:id="0">
    <w:p w14:paraId="1A478952" w14:textId="77777777" w:rsidR="000D32AA" w:rsidRDefault="000D32AA" w:rsidP="00F97B01">
      <w:pPr>
        <w:spacing w:after="0" w:line="240" w:lineRule="auto"/>
      </w:pPr>
      <w:r>
        <w:continuationSeparator/>
      </w:r>
    </w:p>
  </w:footnote>
  <w:footnote w:id="1">
    <w:p w14:paraId="6F9CF374" w14:textId="77777777" w:rsidR="00DC0ADF" w:rsidRPr="00A14719" w:rsidRDefault="00DC0ADF" w:rsidP="00DC0ADF">
      <w:pPr>
        <w:pStyle w:val="FootnoteText"/>
        <w:rPr>
          <w:sz w:val="18"/>
          <w:szCs w:val="18"/>
          <w:lang w:val="en-US"/>
        </w:rPr>
      </w:pPr>
      <w:r w:rsidRPr="00A14719">
        <w:rPr>
          <w:rStyle w:val="FootnoteReference"/>
          <w:sz w:val="18"/>
          <w:szCs w:val="18"/>
        </w:rPr>
        <w:footnoteRef/>
      </w:r>
      <w:r w:rsidRPr="00A14719">
        <w:rPr>
          <w:sz w:val="18"/>
          <w:szCs w:val="18"/>
        </w:rPr>
        <w:t xml:space="preserve"> The National Account Main Aggregates Database is available online at: </w:t>
      </w:r>
      <w:hyperlink r:id="rId1" w:history="1">
        <w:r w:rsidRPr="00A14719">
          <w:rPr>
            <w:rStyle w:val="Hyperlink"/>
            <w:sz w:val="18"/>
            <w:szCs w:val="18"/>
          </w:rPr>
          <w:t>http://unstats.un.org/unsd/snaama/Introduction.asp</w:t>
        </w:r>
      </w:hyperlink>
      <w:r w:rsidRPr="00A1471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5255DF" w14:textId="44A0C957" w:rsidR="00B22C47" w:rsidRPr="00A14719" w:rsidRDefault="00B22C47" w:rsidP="00A14719">
    <w:pPr>
      <w:pStyle w:val="Header"/>
      <w:jc w:val="right"/>
      <w:rPr>
        <w:i/>
        <w:sz w:val="18"/>
        <w:szCs w:val="18"/>
      </w:rPr>
    </w:pPr>
    <w:r w:rsidRPr="00A14719">
      <w:rPr>
        <w:i/>
        <w:sz w:val="18"/>
        <w:szCs w:val="18"/>
      </w:rPr>
      <w:t>Draft for discussion as of 31 October 2017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2BE7D" w14:textId="284D2C68" w:rsidR="00533A88" w:rsidRPr="00F97B01" w:rsidRDefault="00446792" w:rsidP="00533A88">
    <w:pPr>
      <w:pStyle w:val="Header"/>
      <w:jc w:val="right"/>
      <w:rPr>
        <w:i/>
      </w:rPr>
    </w:pPr>
    <w:r>
      <w:rPr>
        <w:i/>
      </w:rPr>
      <w:t xml:space="preserve">Draft for discussion only as of </w:t>
    </w:r>
    <w:r w:rsidR="002F1FB3">
      <w:rPr>
        <w:i/>
      </w:rPr>
      <w:t>31</w:t>
    </w:r>
    <w:r w:rsidR="00533A88" w:rsidRPr="00F97B01">
      <w:rPr>
        <w:i/>
      </w:rPr>
      <w:t xml:space="preserve"> </w:t>
    </w:r>
    <w:r w:rsidR="002F1FB3">
      <w:rPr>
        <w:i/>
      </w:rPr>
      <w:t>October</w:t>
    </w:r>
    <w:r w:rsidR="00533A88" w:rsidRPr="00F97B01">
      <w:rPr>
        <w:i/>
      </w:rPr>
      <w:t xml:space="preserve"> 2017</w:t>
    </w:r>
  </w:p>
  <w:p w14:paraId="0E22A930" w14:textId="77777777" w:rsidR="00533A88" w:rsidRDefault="00533A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86137"/>
    <w:multiLevelType w:val="multilevel"/>
    <w:tmpl w:val="B1966E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B2B2F63"/>
    <w:multiLevelType w:val="hybridMultilevel"/>
    <w:tmpl w:val="58E263F4"/>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163F36A9"/>
    <w:multiLevelType w:val="hybridMultilevel"/>
    <w:tmpl w:val="516AAF3E"/>
    <w:lvl w:ilvl="0" w:tplc="0809000F">
      <w:start w:val="1"/>
      <w:numFmt w:val="decimal"/>
      <w:lvlText w:val="%1."/>
      <w:lvlJc w:val="left"/>
      <w:pPr>
        <w:ind w:left="773" w:hanging="360"/>
      </w:pPr>
    </w:lvl>
    <w:lvl w:ilvl="1" w:tplc="08090019" w:tentative="1">
      <w:start w:val="1"/>
      <w:numFmt w:val="lowerLetter"/>
      <w:lvlText w:val="%2."/>
      <w:lvlJc w:val="left"/>
      <w:pPr>
        <w:ind w:left="1493" w:hanging="360"/>
      </w:pPr>
    </w:lvl>
    <w:lvl w:ilvl="2" w:tplc="0809001B" w:tentative="1">
      <w:start w:val="1"/>
      <w:numFmt w:val="lowerRoman"/>
      <w:lvlText w:val="%3."/>
      <w:lvlJc w:val="right"/>
      <w:pPr>
        <w:ind w:left="2213" w:hanging="180"/>
      </w:pPr>
    </w:lvl>
    <w:lvl w:ilvl="3" w:tplc="0809000F" w:tentative="1">
      <w:start w:val="1"/>
      <w:numFmt w:val="decimal"/>
      <w:lvlText w:val="%4."/>
      <w:lvlJc w:val="left"/>
      <w:pPr>
        <w:ind w:left="2933" w:hanging="360"/>
      </w:pPr>
    </w:lvl>
    <w:lvl w:ilvl="4" w:tplc="08090019" w:tentative="1">
      <w:start w:val="1"/>
      <w:numFmt w:val="lowerLetter"/>
      <w:lvlText w:val="%5."/>
      <w:lvlJc w:val="left"/>
      <w:pPr>
        <w:ind w:left="3653" w:hanging="360"/>
      </w:pPr>
    </w:lvl>
    <w:lvl w:ilvl="5" w:tplc="0809001B" w:tentative="1">
      <w:start w:val="1"/>
      <w:numFmt w:val="lowerRoman"/>
      <w:lvlText w:val="%6."/>
      <w:lvlJc w:val="right"/>
      <w:pPr>
        <w:ind w:left="4373" w:hanging="180"/>
      </w:pPr>
    </w:lvl>
    <w:lvl w:ilvl="6" w:tplc="0809000F" w:tentative="1">
      <w:start w:val="1"/>
      <w:numFmt w:val="decimal"/>
      <w:lvlText w:val="%7."/>
      <w:lvlJc w:val="left"/>
      <w:pPr>
        <w:ind w:left="5093" w:hanging="360"/>
      </w:pPr>
    </w:lvl>
    <w:lvl w:ilvl="7" w:tplc="08090019" w:tentative="1">
      <w:start w:val="1"/>
      <w:numFmt w:val="lowerLetter"/>
      <w:lvlText w:val="%8."/>
      <w:lvlJc w:val="left"/>
      <w:pPr>
        <w:ind w:left="5813" w:hanging="360"/>
      </w:pPr>
    </w:lvl>
    <w:lvl w:ilvl="8" w:tplc="0809001B" w:tentative="1">
      <w:start w:val="1"/>
      <w:numFmt w:val="lowerRoman"/>
      <w:lvlText w:val="%9."/>
      <w:lvlJc w:val="right"/>
      <w:pPr>
        <w:ind w:left="6533" w:hanging="180"/>
      </w:pPr>
    </w:lvl>
  </w:abstractNum>
  <w:abstractNum w:abstractNumId="3" w15:restartNumberingAfterBreak="0">
    <w:nsid w:val="1A2114E5"/>
    <w:multiLevelType w:val="hybridMultilevel"/>
    <w:tmpl w:val="A09611F6"/>
    <w:lvl w:ilvl="0" w:tplc="758C1EA6">
      <w:start w:val="1"/>
      <w:numFmt w:val="lowerRoman"/>
      <w:lvlText w:val="%1."/>
      <w:lvlJc w:val="left"/>
      <w:pPr>
        <w:ind w:left="773"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1091369"/>
    <w:multiLevelType w:val="hybridMultilevel"/>
    <w:tmpl w:val="BD34F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3813600"/>
    <w:multiLevelType w:val="hybridMultilevel"/>
    <w:tmpl w:val="CCC409CE"/>
    <w:lvl w:ilvl="0" w:tplc="758C1EA6">
      <w:start w:val="1"/>
      <w:numFmt w:val="lowerRoman"/>
      <w:lvlText w:val="%1."/>
      <w:lvlJc w:val="left"/>
      <w:pPr>
        <w:ind w:left="773" w:hanging="360"/>
      </w:pPr>
      <w:rPr>
        <w:rFonts w:asciiTheme="minorHAnsi" w:eastAsiaTheme="minorHAnsi" w:hAnsiTheme="minorHAnsi" w:cstheme="minorBidi"/>
      </w:rPr>
    </w:lvl>
    <w:lvl w:ilvl="1" w:tplc="08090019" w:tentative="1">
      <w:start w:val="1"/>
      <w:numFmt w:val="lowerLetter"/>
      <w:lvlText w:val="%2."/>
      <w:lvlJc w:val="left"/>
      <w:pPr>
        <w:ind w:left="1493" w:hanging="360"/>
      </w:pPr>
    </w:lvl>
    <w:lvl w:ilvl="2" w:tplc="0809001B" w:tentative="1">
      <w:start w:val="1"/>
      <w:numFmt w:val="lowerRoman"/>
      <w:lvlText w:val="%3."/>
      <w:lvlJc w:val="right"/>
      <w:pPr>
        <w:ind w:left="2213" w:hanging="180"/>
      </w:pPr>
    </w:lvl>
    <w:lvl w:ilvl="3" w:tplc="0809000F" w:tentative="1">
      <w:start w:val="1"/>
      <w:numFmt w:val="decimal"/>
      <w:lvlText w:val="%4."/>
      <w:lvlJc w:val="left"/>
      <w:pPr>
        <w:ind w:left="2933" w:hanging="360"/>
      </w:pPr>
    </w:lvl>
    <w:lvl w:ilvl="4" w:tplc="08090019" w:tentative="1">
      <w:start w:val="1"/>
      <w:numFmt w:val="lowerLetter"/>
      <w:lvlText w:val="%5."/>
      <w:lvlJc w:val="left"/>
      <w:pPr>
        <w:ind w:left="3653" w:hanging="360"/>
      </w:pPr>
    </w:lvl>
    <w:lvl w:ilvl="5" w:tplc="0809001B" w:tentative="1">
      <w:start w:val="1"/>
      <w:numFmt w:val="lowerRoman"/>
      <w:lvlText w:val="%6."/>
      <w:lvlJc w:val="right"/>
      <w:pPr>
        <w:ind w:left="4373" w:hanging="180"/>
      </w:pPr>
    </w:lvl>
    <w:lvl w:ilvl="6" w:tplc="0809000F" w:tentative="1">
      <w:start w:val="1"/>
      <w:numFmt w:val="decimal"/>
      <w:lvlText w:val="%7."/>
      <w:lvlJc w:val="left"/>
      <w:pPr>
        <w:ind w:left="5093" w:hanging="360"/>
      </w:pPr>
    </w:lvl>
    <w:lvl w:ilvl="7" w:tplc="08090019" w:tentative="1">
      <w:start w:val="1"/>
      <w:numFmt w:val="lowerLetter"/>
      <w:lvlText w:val="%8."/>
      <w:lvlJc w:val="left"/>
      <w:pPr>
        <w:ind w:left="5813" w:hanging="360"/>
      </w:pPr>
    </w:lvl>
    <w:lvl w:ilvl="8" w:tplc="0809001B" w:tentative="1">
      <w:start w:val="1"/>
      <w:numFmt w:val="lowerRoman"/>
      <w:lvlText w:val="%9."/>
      <w:lvlJc w:val="right"/>
      <w:pPr>
        <w:ind w:left="6533" w:hanging="180"/>
      </w:pPr>
    </w:lvl>
  </w:abstractNum>
  <w:abstractNum w:abstractNumId="6" w15:restartNumberingAfterBreak="0">
    <w:nsid w:val="624E1CC5"/>
    <w:multiLevelType w:val="hybridMultilevel"/>
    <w:tmpl w:val="F0326A22"/>
    <w:lvl w:ilvl="0" w:tplc="08090001">
      <w:start w:val="1"/>
      <w:numFmt w:val="bullet"/>
      <w:lvlText w:val=""/>
      <w:lvlJc w:val="left"/>
      <w:pPr>
        <w:ind w:left="1973" w:hanging="360"/>
      </w:pPr>
      <w:rPr>
        <w:rFonts w:ascii="Symbol" w:hAnsi="Symbol" w:hint="default"/>
      </w:rPr>
    </w:lvl>
    <w:lvl w:ilvl="1" w:tplc="08090003" w:tentative="1">
      <w:start w:val="1"/>
      <w:numFmt w:val="bullet"/>
      <w:lvlText w:val="o"/>
      <w:lvlJc w:val="left"/>
      <w:pPr>
        <w:ind w:left="2693" w:hanging="360"/>
      </w:pPr>
      <w:rPr>
        <w:rFonts w:ascii="Courier New" w:hAnsi="Courier New" w:cs="Courier New" w:hint="default"/>
      </w:rPr>
    </w:lvl>
    <w:lvl w:ilvl="2" w:tplc="08090005" w:tentative="1">
      <w:start w:val="1"/>
      <w:numFmt w:val="bullet"/>
      <w:lvlText w:val=""/>
      <w:lvlJc w:val="left"/>
      <w:pPr>
        <w:ind w:left="3413" w:hanging="360"/>
      </w:pPr>
      <w:rPr>
        <w:rFonts w:ascii="Wingdings" w:hAnsi="Wingdings" w:hint="default"/>
      </w:rPr>
    </w:lvl>
    <w:lvl w:ilvl="3" w:tplc="08090001" w:tentative="1">
      <w:start w:val="1"/>
      <w:numFmt w:val="bullet"/>
      <w:lvlText w:val=""/>
      <w:lvlJc w:val="left"/>
      <w:pPr>
        <w:ind w:left="4133" w:hanging="360"/>
      </w:pPr>
      <w:rPr>
        <w:rFonts w:ascii="Symbol" w:hAnsi="Symbol" w:hint="default"/>
      </w:rPr>
    </w:lvl>
    <w:lvl w:ilvl="4" w:tplc="08090003" w:tentative="1">
      <w:start w:val="1"/>
      <w:numFmt w:val="bullet"/>
      <w:lvlText w:val="o"/>
      <w:lvlJc w:val="left"/>
      <w:pPr>
        <w:ind w:left="4853" w:hanging="360"/>
      </w:pPr>
      <w:rPr>
        <w:rFonts w:ascii="Courier New" w:hAnsi="Courier New" w:cs="Courier New" w:hint="default"/>
      </w:rPr>
    </w:lvl>
    <w:lvl w:ilvl="5" w:tplc="08090005" w:tentative="1">
      <w:start w:val="1"/>
      <w:numFmt w:val="bullet"/>
      <w:lvlText w:val=""/>
      <w:lvlJc w:val="left"/>
      <w:pPr>
        <w:ind w:left="5573" w:hanging="360"/>
      </w:pPr>
      <w:rPr>
        <w:rFonts w:ascii="Wingdings" w:hAnsi="Wingdings" w:hint="default"/>
      </w:rPr>
    </w:lvl>
    <w:lvl w:ilvl="6" w:tplc="08090001" w:tentative="1">
      <w:start w:val="1"/>
      <w:numFmt w:val="bullet"/>
      <w:lvlText w:val=""/>
      <w:lvlJc w:val="left"/>
      <w:pPr>
        <w:ind w:left="6293" w:hanging="360"/>
      </w:pPr>
      <w:rPr>
        <w:rFonts w:ascii="Symbol" w:hAnsi="Symbol" w:hint="default"/>
      </w:rPr>
    </w:lvl>
    <w:lvl w:ilvl="7" w:tplc="08090003" w:tentative="1">
      <w:start w:val="1"/>
      <w:numFmt w:val="bullet"/>
      <w:lvlText w:val="o"/>
      <w:lvlJc w:val="left"/>
      <w:pPr>
        <w:ind w:left="7013" w:hanging="360"/>
      </w:pPr>
      <w:rPr>
        <w:rFonts w:ascii="Courier New" w:hAnsi="Courier New" w:cs="Courier New" w:hint="default"/>
      </w:rPr>
    </w:lvl>
    <w:lvl w:ilvl="8" w:tplc="08090005" w:tentative="1">
      <w:start w:val="1"/>
      <w:numFmt w:val="bullet"/>
      <w:lvlText w:val=""/>
      <w:lvlJc w:val="left"/>
      <w:pPr>
        <w:ind w:left="7733" w:hanging="360"/>
      </w:pPr>
      <w:rPr>
        <w:rFonts w:ascii="Wingdings" w:hAnsi="Wingdings" w:hint="default"/>
      </w:rPr>
    </w:lvl>
  </w:abstractNum>
  <w:abstractNum w:abstractNumId="7" w15:restartNumberingAfterBreak="0">
    <w:nsid w:val="681B205C"/>
    <w:multiLevelType w:val="hybridMultilevel"/>
    <w:tmpl w:val="ED50CADA"/>
    <w:lvl w:ilvl="0" w:tplc="AA8A15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23D6642"/>
    <w:multiLevelType w:val="hybridMultilevel"/>
    <w:tmpl w:val="5764F414"/>
    <w:lvl w:ilvl="0" w:tplc="22907838">
      <w:start w:val="1"/>
      <w:numFmt w:val="bullet"/>
      <w:lvlText w:val="•"/>
      <w:lvlJc w:val="left"/>
      <w:pPr>
        <w:tabs>
          <w:tab w:val="num" w:pos="720"/>
        </w:tabs>
        <w:ind w:left="720" w:hanging="360"/>
      </w:pPr>
      <w:rPr>
        <w:rFonts w:ascii="Arial" w:hAnsi="Arial" w:hint="default"/>
      </w:rPr>
    </w:lvl>
    <w:lvl w:ilvl="1" w:tplc="629A32E4" w:tentative="1">
      <w:start w:val="1"/>
      <w:numFmt w:val="bullet"/>
      <w:lvlText w:val="•"/>
      <w:lvlJc w:val="left"/>
      <w:pPr>
        <w:tabs>
          <w:tab w:val="num" w:pos="1440"/>
        </w:tabs>
        <w:ind w:left="1440" w:hanging="360"/>
      </w:pPr>
      <w:rPr>
        <w:rFonts w:ascii="Arial" w:hAnsi="Arial" w:hint="default"/>
      </w:rPr>
    </w:lvl>
    <w:lvl w:ilvl="2" w:tplc="BF04B4B0" w:tentative="1">
      <w:start w:val="1"/>
      <w:numFmt w:val="bullet"/>
      <w:lvlText w:val="•"/>
      <w:lvlJc w:val="left"/>
      <w:pPr>
        <w:tabs>
          <w:tab w:val="num" w:pos="2160"/>
        </w:tabs>
        <w:ind w:left="2160" w:hanging="360"/>
      </w:pPr>
      <w:rPr>
        <w:rFonts w:ascii="Arial" w:hAnsi="Arial" w:hint="default"/>
      </w:rPr>
    </w:lvl>
    <w:lvl w:ilvl="3" w:tplc="4E660034" w:tentative="1">
      <w:start w:val="1"/>
      <w:numFmt w:val="bullet"/>
      <w:lvlText w:val="•"/>
      <w:lvlJc w:val="left"/>
      <w:pPr>
        <w:tabs>
          <w:tab w:val="num" w:pos="2880"/>
        </w:tabs>
        <w:ind w:left="2880" w:hanging="360"/>
      </w:pPr>
      <w:rPr>
        <w:rFonts w:ascii="Arial" w:hAnsi="Arial" w:hint="default"/>
      </w:rPr>
    </w:lvl>
    <w:lvl w:ilvl="4" w:tplc="38626E3A" w:tentative="1">
      <w:start w:val="1"/>
      <w:numFmt w:val="bullet"/>
      <w:lvlText w:val="•"/>
      <w:lvlJc w:val="left"/>
      <w:pPr>
        <w:tabs>
          <w:tab w:val="num" w:pos="3600"/>
        </w:tabs>
        <w:ind w:left="3600" w:hanging="360"/>
      </w:pPr>
      <w:rPr>
        <w:rFonts w:ascii="Arial" w:hAnsi="Arial" w:hint="default"/>
      </w:rPr>
    </w:lvl>
    <w:lvl w:ilvl="5" w:tplc="43EE5A20" w:tentative="1">
      <w:start w:val="1"/>
      <w:numFmt w:val="bullet"/>
      <w:lvlText w:val="•"/>
      <w:lvlJc w:val="left"/>
      <w:pPr>
        <w:tabs>
          <w:tab w:val="num" w:pos="4320"/>
        </w:tabs>
        <w:ind w:left="4320" w:hanging="360"/>
      </w:pPr>
      <w:rPr>
        <w:rFonts w:ascii="Arial" w:hAnsi="Arial" w:hint="default"/>
      </w:rPr>
    </w:lvl>
    <w:lvl w:ilvl="6" w:tplc="E8F48A6A" w:tentative="1">
      <w:start w:val="1"/>
      <w:numFmt w:val="bullet"/>
      <w:lvlText w:val="•"/>
      <w:lvlJc w:val="left"/>
      <w:pPr>
        <w:tabs>
          <w:tab w:val="num" w:pos="5040"/>
        </w:tabs>
        <w:ind w:left="5040" w:hanging="360"/>
      </w:pPr>
      <w:rPr>
        <w:rFonts w:ascii="Arial" w:hAnsi="Arial" w:hint="default"/>
      </w:rPr>
    </w:lvl>
    <w:lvl w:ilvl="7" w:tplc="9A7AA62C" w:tentative="1">
      <w:start w:val="1"/>
      <w:numFmt w:val="bullet"/>
      <w:lvlText w:val="•"/>
      <w:lvlJc w:val="left"/>
      <w:pPr>
        <w:tabs>
          <w:tab w:val="num" w:pos="5760"/>
        </w:tabs>
        <w:ind w:left="5760" w:hanging="360"/>
      </w:pPr>
      <w:rPr>
        <w:rFonts w:ascii="Arial" w:hAnsi="Arial" w:hint="default"/>
      </w:rPr>
    </w:lvl>
    <w:lvl w:ilvl="8" w:tplc="66205A7C"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2"/>
  </w:num>
  <w:num w:numId="3">
    <w:abstractNumId w:val="5"/>
  </w:num>
  <w:num w:numId="4">
    <w:abstractNumId w:val="3"/>
  </w:num>
  <w:num w:numId="5">
    <w:abstractNumId w:val="0"/>
  </w:num>
  <w:num w:numId="6">
    <w:abstractNumId w:val="6"/>
  </w:num>
  <w:num w:numId="7">
    <w:abstractNumId w:val="7"/>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16CF"/>
    <w:rsid w:val="00017019"/>
    <w:rsid w:val="0002776C"/>
    <w:rsid w:val="00044014"/>
    <w:rsid w:val="00052A93"/>
    <w:rsid w:val="0007382C"/>
    <w:rsid w:val="00096C1D"/>
    <w:rsid w:val="000B25CF"/>
    <w:rsid w:val="000B2CEE"/>
    <w:rsid w:val="000B6340"/>
    <w:rsid w:val="000C232D"/>
    <w:rsid w:val="000C6AC3"/>
    <w:rsid w:val="000C775E"/>
    <w:rsid w:val="000D32AA"/>
    <w:rsid w:val="000F10E1"/>
    <w:rsid w:val="00102C59"/>
    <w:rsid w:val="00116C0F"/>
    <w:rsid w:val="00117C0B"/>
    <w:rsid w:val="0014731A"/>
    <w:rsid w:val="00164EE1"/>
    <w:rsid w:val="00170BBD"/>
    <w:rsid w:val="001727E7"/>
    <w:rsid w:val="0017456A"/>
    <w:rsid w:val="00182F32"/>
    <w:rsid w:val="001B69D6"/>
    <w:rsid w:val="001D117E"/>
    <w:rsid w:val="001D75F6"/>
    <w:rsid w:val="001E5538"/>
    <w:rsid w:val="001F0E01"/>
    <w:rsid w:val="00227FE9"/>
    <w:rsid w:val="00233914"/>
    <w:rsid w:val="00235950"/>
    <w:rsid w:val="00275D3E"/>
    <w:rsid w:val="0028301E"/>
    <w:rsid w:val="00286895"/>
    <w:rsid w:val="002C395D"/>
    <w:rsid w:val="002E35A6"/>
    <w:rsid w:val="002F1876"/>
    <w:rsid w:val="002F1FB3"/>
    <w:rsid w:val="002F464B"/>
    <w:rsid w:val="003109E4"/>
    <w:rsid w:val="00366E91"/>
    <w:rsid w:val="00366FA1"/>
    <w:rsid w:val="00383BC8"/>
    <w:rsid w:val="00393516"/>
    <w:rsid w:val="0039463A"/>
    <w:rsid w:val="003A3D66"/>
    <w:rsid w:val="003C030A"/>
    <w:rsid w:val="003D0F3F"/>
    <w:rsid w:val="003F6543"/>
    <w:rsid w:val="00421D2E"/>
    <w:rsid w:val="00424E76"/>
    <w:rsid w:val="00426BF7"/>
    <w:rsid w:val="00427E97"/>
    <w:rsid w:val="00444EE6"/>
    <w:rsid w:val="00446792"/>
    <w:rsid w:val="00452962"/>
    <w:rsid w:val="004573EF"/>
    <w:rsid w:val="00463D15"/>
    <w:rsid w:val="0047258D"/>
    <w:rsid w:val="004748E9"/>
    <w:rsid w:val="00483FC6"/>
    <w:rsid w:val="004A69C7"/>
    <w:rsid w:val="004B574D"/>
    <w:rsid w:val="004F12E9"/>
    <w:rsid w:val="00533A88"/>
    <w:rsid w:val="00550EF5"/>
    <w:rsid w:val="005A4754"/>
    <w:rsid w:val="005B659E"/>
    <w:rsid w:val="005B7B6A"/>
    <w:rsid w:val="005C0250"/>
    <w:rsid w:val="005C17FA"/>
    <w:rsid w:val="005D0702"/>
    <w:rsid w:val="00613BF5"/>
    <w:rsid w:val="00613E01"/>
    <w:rsid w:val="006246A0"/>
    <w:rsid w:val="00633D74"/>
    <w:rsid w:val="006639D4"/>
    <w:rsid w:val="006753D2"/>
    <w:rsid w:val="006865BC"/>
    <w:rsid w:val="0068728C"/>
    <w:rsid w:val="0069615A"/>
    <w:rsid w:val="006B451F"/>
    <w:rsid w:val="006D179C"/>
    <w:rsid w:val="006E4AD6"/>
    <w:rsid w:val="006E62DA"/>
    <w:rsid w:val="00727297"/>
    <w:rsid w:val="00743749"/>
    <w:rsid w:val="00755CF9"/>
    <w:rsid w:val="00756474"/>
    <w:rsid w:val="00766D5E"/>
    <w:rsid w:val="007B6DB1"/>
    <w:rsid w:val="007D60CD"/>
    <w:rsid w:val="007F4025"/>
    <w:rsid w:val="00866A9A"/>
    <w:rsid w:val="00874390"/>
    <w:rsid w:val="008829F1"/>
    <w:rsid w:val="0088659F"/>
    <w:rsid w:val="00887138"/>
    <w:rsid w:val="008C12CC"/>
    <w:rsid w:val="00912496"/>
    <w:rsid w:val="009B1CD3"/>
    <w:rsid w:val="009D4DB7"/>
    <w:rsid w:val="009F6211"/>
    <w:rsid w:val="009F6FDA"/>
    <w:rsid w:val="00A116CF"/>
    <w:rsid w:val="00A14719"/>
    <w:rsid w:val="00A17370"/>
    <w:rsid w:val="00A4143E"/>
    <w:rsid w:val="00AC3625"/>
    <w:rsid w:val="00AC418B"/>
    <w:rsid w:val="00AD234C"/>
    <w:rsid w:val="00AF7E0A"/>
    <w:rsid w:val="00B05550"/>
    <w:rsid w:val="00B11A54"/>
    <w:rsid w:val="00B14E6F"/>
    <w:rsid w:val="00B22C47"/>
    <w:rsid w:val="00B53B78"/>
    <w:rsid w:val="00B74B1B"/>
    <w:rsid w:val="00B76407"/>
    <w:rsid w:val="00BB2869"/>
    <w:rsid w:val="00BF76EB"/>
    <w:rsid w:val="00C12371"/>
    <w:rsid w:val="00C23BDF"/>
    <w:rsid w:val="00C23FB9"/>
    <w:rsid w:val="00C402B7"/>
    <w:rsid w:val="00C536E1"/>
    <w:rsid w:val="00C6053D"/>
    <w:rsid w:val="00C66BE5"/>
    <w:rsid w:val="00C85369"/>
    <w:rsid w:val="00C94BFF"/>
    <w:rsid w:val="00CB109C"/>
    <w:rsid w:val="00CD46A7"/>
    <w:rsid w:val="00CE7340"/>
    <w:rsid w:val="00CF6447"/>
    <w:rsid w:val="00D0441C"/>
    <w:rsid w:val="00D04F89"/>
    <w:rsid w:val="00D125D8"/>
    <w:rsid w:val="00D13C04"/>
    <w:rsid w:val="00D619BA"/>
    <w:rsid w:val="00D87016"/>
    <w:rsid w:val="00DC0ADF"/>
    <w:rsid w:val="00DD74D3"/>
    <w:rsid w:val="00E02138"/>
    <w:rsid w:val="00E02DCF"/>
    <w:rsid w:val="00E24F30"/>
    <w:rsid w:val="00E8034C"/>
    <w:rsid w:val="00E9462C"/>
    <w:rsid w:val="00E97B8F"/>
    <w:rsid w:val="00EC539D"/>
    <w:rsid w:val="00ED5508"/>
    <w:rsid w:val="00F752B3"/>
    <w:rsid w:val="00F92AE0"/>
    <w:rsid w:val="00F97B01"/>
    <w:rsid w:val="00FA433C"/>
    <w:rsid w:val="00FA4D2E"/>
    <w:rsid w:val="00FB701E"/>
    <w:rsid w:val="00FC4244"/>
    <w:rsid w:val="00FF6F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D6CC2"/>
  <w15:chartTrackingRefBased/>
  <w15:docId w15:val="{FDEB110E-69EF-42CC-88D8-DE4B3E36B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7B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B01"/>
    <w:rPr>
      <w:lang w:val="en-GB"/>
    </w:rPr>
  </w:style>
  <w:style w:type="paragraph" w:styleId="Footer">
    <w:name w:val="footer"/>
    <w:basedOn w:val="Normal"/>
    <w:link w:val="FooterChar"/>
    <w:uiPriority w:val="99"/>
    <w:unhideWhenUsed/>
    <w:rsid w:val="00F97B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B01"/>
    <w:rPr>
      <w:lang w:val="en-GB"/>
    </w:rPr>
  </w:style>
  <w:style w:type="paragraph" w:styleId="BalloonText">
    <w:name w:val="Balloon Text"/>
    <w:basedOn w:val="Normal"/>
    <w:link w:val="BalloonTextChar"/>
    <w:uiPriority w:val="99"/>
    <w:semiHidden/>
    <w:unhideWhenUsed/>
    <w:rsid w:val="00533A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3A88"/>
    <w:rPr>
      <w:rFonts w:ascii="Segoe UI" w:hAnsi="Segoe UI" w:cs="Segoe UI"/>
      <w:sz w:val="18"/>
      <w:szCs w:val="18"/>
      <w:lang w:val="en-GB"/>
    </w:rPr>
  </w:style>
  <w:style w:type="paragraph" w:styleId="FootnoteText">
    <w:name w:val="footnote text"/>
    <w:basedOn w:val="Normal"/>
    <w:link w:val="FootnoteTextChar"/>
    <w:uiPriority w:val="99"/>
    <w:semiHidden/>
    <w:unhideWhenUsed/>
    <w:rsid w:val="00DC0AD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C0ADF"/>
    <w:rPr>
      <w:sz w:val="20"/>
      <w:szCs w:val="20"/>
      <w:lang w:val="en-GB"/>
    </w:rPr>
  </w:style>
  <w:style w:type="character" w:styleId="FootnoteReference">
    <w:name w:val="footnote reference"/>
    <w:basedOn w:val="DefaultParagraphFont"/>
    <w:uiPriority w:val="99"/>
    <w:semiHidden/>
    <w:unhideWhenUsed/>
    <w:rsid w:val="00DC0ADF"/>
    <w:rPr>
      <w:vertAlign w:val="superscript"/>
    </w:rPr>
  </w:style>
  <w:style w:type="character" w:styleId="Hyperlink">
    <w:name w:val="Hyperlink"/>
    <w:basedOn w:val="DefaultParagraphFont"/>
    <w:uiPriority w:val="99"/>
    <w:unhideWhenUsed/>
    <w:rsid w:val="00DC0ADF"/>
    <w:rPr>
      <w:color w:val="0000FF"/>
      <w:u w:val="single"/>
    </w:rPr>
  </w:style>
  <w:style w:type="table" w:styleId="MediumList2-Accent4">
    <w:name w:val="Medium List 2 Accent 4"/>
    <w:basedOn w:val="TableNormal"/>
    <w:uiPriority w:val="66"/>
    <w:rsid w:val="00483FC6"/>
    <w:pPr>
      <w:spacing w:after="0" w:line="240" w:lineRule="auto"/>
    </w:pPr>
    <w:rPr>
      <w:rFonts w:asciiTheme="majorHAnsi" w:eastAsiaTheme="majorEastAsia" w:hAnsiTheme="majorHAnsi" w:cstheme="majorBidi"/>
      <w:color w:val="000000" w:themeColor="text1"/>
      <w:lang w:val="en-GB"/>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styleId="ListParagraph">
    <w:name w:val="List Paragraph"/>
    <w:aliases w:val="References"/>
    <w:basedOn w:val="Normal"/>
    <w:link w:val="ListParagraphChar"/>
    <w:uiPriority w:val="34"/>
    <w:qFormat/>
    <w:rsid w:val="002F1FB3"/>
    <w:pPr>
      <w:ind w:left="720"/>
      <w:contextualSpacing/>
    </w:pPr>
  </w:style>
  <w:style w:type="character" w:styleId="PageNumber">
    <w:name w:val="page number"/>
    <w:basedOn w:val="DefaultParagraphFont"/>
    <w:uiPriority w:val="99"/>
    <w:semiHidden/>
    <w:unhideWhenUsed/>
    <w:rsid w:val="00613BF5"/>
  </w:style>
  <w:style w:type="table" w:styleId="TableGrid">
    <w:name w:val="Table Grid"/>
    <w:basedOn w:val="TableNormal"/>
    <w:uiPriority w:val="39"/>
    <w:rsid w:val="00D1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0B25CF"/>
    <w:pPr>
      <w:spacing w:after="0" w:line="240" w:lineRule="auto"/>
    </w:pPr>
    <w:rPr>
      <w:rFonts w:ascii="Arial" w:eastAsia="MS Mincho" w:hAnsi="Arial" w:cs="Arial"/>
      <w:color w:val="000000"/>
      <w:sz w:val="20"/>
      <w:szCs w:val="20"/>
    </w:rPr>
  </w:style>
  <w:style w:type="character" w:customStyle="1" w:styleId="EndnoteTextChar">
    <w:name w:val="Endnote Text Char"/>
    <w:basedOn w:val="DefaultParagraphFont"/>
    <w:link w:val="EndnoteText"/>
    <w:uiPriority w:val="99"/>
    <w:semiHidden/>
    <w:rsid w:val="000B25CF"/>
    <w:rPr>
      <w:rFonts w:ascii="Arial" w:eastAsia="MS Mincho" w:hAnsi="Arial" w:cs="Arial"/>
      <w:color w:val="000000"/>
      <w:sz w:val="20"/>
      <w:szCs w:val="20"/>
      <w:lang w:val="en-GB"/>
    </w:rPr>
  </w:style>
  <w:style w:type="character" w:styleId="EndnoteReference">
    <w:name w:val="endnote reference"/>
    <w:uiPriority w:val="99"/>
    <w:semiHidden/>
    <w:unhideWhenUsed/>
    <w:rsid w:val="000B25CF"/>
    <w:rPr>
      <w:vertAlign w:val="superscript"/>
    </w:rPr>
  </w:style>
  <w:style w:type="paragraph" w:styleId="NormalWeb">
    <w:name w:val="Normal (Web)"/>
    <w:basedOn w:val="Normal"/>
    <w:uiPriority w:val="99"/>
    <w:unhideWhenUsed/>
    <w:rsid w:val="00424E76"/>
    <w:pPr>
      <w:spacing w:before="100" w:beforeAutospacing="1" w:after="100" w:afterAutospacing="1" w:line="240" w:lineRule="auto"/>
    </w:pPr>
    <w:rPr>
      <w:rFonts w:ascii="Times" w:eastAsiaTheme="minorEastAsia" w:hAnsi="Times" w:cs="Times New Roman"/>
      <w:sz w:val="20"/>
      <w:szCs w:val="20"/>
      <w:lang w:val="en-US"/>
    </w:rPr>
  </w:style>
  <w:style w:type="character" w:customStyle="1" w:styleId="ListParagraphChar">
    <w:name w:val="List Paragraph Char"/>
    <w:aliases w:val="References Char"/>
    <w:basedOn w:val="DefaultParagraphFont"/>
    <w:link w:val="ListParagraph"/>
    <w:uiPriority w:val="34"/>
    <w:locked/>
    <w:rsid w:val="0017456A"/>
    <w:rPr>
      <w:lang w:val="en-GB"/>
    </w:rPr>
  </w:style>
  <w:style w:type="paragraph" w:customStyle="1" w:styleId="p1">
    <w:name w:val="p1"/>
    <w:basedOn w:val="Normal"/>
    <w:rsid w:val="00EC539D"/>
    <w:pPr>
      <w:spacing w:after="0" w:line="240" w:lineRule="auto"/>
    </w:pPr>
    <w:rPr>
      <w:rFonts w:ascii="Helvetica" w:hAnsi="Helvetica" w:cs="Times New Roman"/>
      <w:sz w:val="15"/>
      <w:szCs w:val="15"/>
      <w:lang w:eastAsia="en-GB"/>
    </w:rPr>
  </w:style>
  <w:style w:type="character" w:customStyle="1" w:styleId="apple-converted-space">
    <w:name w:val="apple-converted-space"/>
    <w:basedOn w:val="DefaultParagraphFont"/>
    <w:rsid w:val="00EC53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306454">
      <w:bodyDiv w:val="1"/>
      <w:marLeft w:val="0"/>
      <w:marRight w:val="0"/>
      <w:marTop w:val="0"/>
      <w:marBottom w:val="0"/>
      <w:divBdr>
        <w:top w:val="none" w:sz="0" w:space="0" w:color="auto"/>
        <w:left w:val="none" w:sz="0" w:space="0" w:color="auto"/>
        <w:bottom w:val="none" w:sz="0" w:space="0" w:color="auto"/>
        <w:right w:val="none" w:sz="0" w:space="0" w:color="auto"/>
      </w:divBdr>
    </w:div>
    <w:div w:id="244918045">
      <w:bodyDiv w:val="1"/>
      <w:marLeft w:val="0"/>
      <w:marRight w:val="0"/>
      <w:marTop w:val="0"/>
      <w:marBottom w:val="0"/>
      <w:divBdr>
        <w:top w:val="none" w:sz="0" w:space="0" w:color="auto"/>
        <w:left w:val="none" w:sz="0" w:space="0" w:color="auto"/>
        <w:bottom w:val="none" w:sz="0" w:space="0" w:color="auto"/>
        <w:right w:val="none" w:sz="0" w:space="0" w:color="auto"/>
      </w:divBdr>
      <w:divsChild>
        <w:div w:id="1514344347">
          <w:marLeft w:val="547"/>
          <w:marRight w:val="0"/>
          <w:marTop w:val="144"/>
          <w:marBottom w:val="0"/>
          <w:divBdr>
            <w:top w:val="none" w:sz="0" w:space="0" w:color="auto"/>
            <w:left w:val="none" w:sz="0" w:space="0" w:color="auto"/>
            <w:bottom w:val="none" w:sz="0" w:space="0" w:color="auto"/>
            <w:right w:val="none" w:sz="0" w:space="0" w:color="auto"/>
          </w:divBdr>
        </w:div>
        <w:div w:id="762845220">
          <w:marLeft w:val="547"/>
          <w:marRight w:val="0"/>
          <w:marTop w:val="144"/>
          <w:marBottom w:val="0"/>
          <w:divBdr>
            <w:top w:val="none" w:sz="0" w:space="0" w:color="auto"/>
            <w:left w:val="none" w:sz="0" w:space="0" w:color="auto"/>
            <w:bottom w:val="none" w:sz="0" w:space="0" w:color="auto"/>
            <w:right w:val="none" w:sz="0" w:space="0" w:color="auto"/>
          </w:divBdr>
        </w:div>
        <w:div w:id="71509946">
          <w:marLeft w:val="547"/>
          <w:marRight w:val="0"/>
          <w:marTop w:val="144"/>
          <w:marBottom w:val="0"/>
          <w:divBdr>
            <w:top w:val="none" w:sz="0" w:space="0" w:color="auto"/>
            <w:left w:val="none" w:sz="0" w:space="0" w:color="auto"/>
            <w:bottom w:val="none" w:sz="0" w:space="0" w:color="auto"/>
            <w:right w:val="none" w:sz="0" w:space="0" w:color="auto"/>
          </w:divBdr>
        </w:div>
        <w:div w:id="311446333">
          <w:marLeft w:val="547"/>
          <w:marRight w:val="0"/>
          <w:marTop w:val="144"/>
          <w:marBottom w:val="0"/>
          <w:divBdr>
            <w:top w:val="none" w:sz="0" w:space="0" w:color="auto"/>
            <w:left w:val="none" w:sz="0" w:space="0" w:color="auto"/>
            <w:bottom w:val="none" w:sz="0" w:space="0" w:color="auto"/>
            <w:right w:val="none" w:sz="0" w:space="0" w:color="auto"/>
          </w:divBdr>
        </w:div>
      </w:divsChild>
    </w:div>
    <w:div w:id="726610414">
      <w:bodyDiv w:val="1"/>
      <w:marLeft w:val="0"/>
      <w:marRight w:val="0"/>
      <w:marTop w:val="0"/>
      <w:marBottom w:val="0"/>
      <w:divBdr>
        <w:top w:val="none" w:sz="0" w:space="0" w:color="auto"/>
        <w:left w:val="none" w:sz="0" w:space="0" w:color="auto"/>
        <w:bottom w:val="none" w:sz="0" w:space="0" w:color="auto"/>
        <w:right w:val="none" w:sz="0" w:space="0" w:color="auto"/>
      </w:divBdr>
    </w:div>
    <w:div w:id="980813008">
      <w:bodyDiv w:val="1"/>
      <w:marLeft w:val="0"/>
      <w:marRight w:val="0"/>
      <w:marTop w:val="0"/>
      <w:marBottom w:val="0"/>
      <w:divBdr>
        <w:top w:val="none" w:sz="0" w:space="0" w:color="auto"/>
        <w:left w:val="none" w:sz="0" w:space="0" w:color="auto"/>
        <w:bottom w:val="none" w:sz="0" w:space="0" w:color="auto"/>
        <w:right w:val="none" w:sz="0" w:space="0" w:color="auto"/>
      </w:divBdr>
    </w:div>
    <w:div w:id="1252929499">
      <w:bodyDiv w:val="1"/>
      <w:marLeft w:val="0"/>
      <w:marRight w:val="0"/>
      <w:marTop w:val="0"/>
      <w:marBottom w:val="0"/>
      <w:divBdr>
        <w:top w:val="none" w:sz="0" w:space="0" w:color="auto"/>
        <w:left w:val="none" w:sz="0" w:space="0" w:color="auto"/>
        <w:bottom w:val="none" w:sz="0" w:space="0" w:color="auto"/>
        <w:right w:val="none" w:sz="0" w:space="0" w:color="auto"/>
      </w:divBdr>
    </w:div>
    <w:div w:id="1420952592">
      <w:bodyDiv w:val="1"/>
      <w:marLeft w:val="0"/>
      <w:marRight w:val="0"/>
      <w:marTop w:val="0"/>
      <w:marBottom w:val="0"/>
      <w:divBdr>
        <w:top w:val="none" w:sz="0" w:space="0" w:color="auto"/>
        <w:left w:val="none" w:sz="0" w:space="0" w:color="auto"/>
        <w:bottom w:val="none" w:sz="0" w:space="0" w:color="auto"/>
        <w:right w:val="none" w:sz="0" w:space="0" w:color="auto"/>
      </w:divBdr>
      <w:divsChild>
        <w:div w:id="453985644">
          <w:marLeft w:val="547"/>
          <w:marRight w:val="0"/>
          <w:marTop w:val="120"/>
          <w:marBottom w:val="0"/>
          <w:divBdr>
            <w:top w:val="none" w:sz="0" w:space="0" w:color="auto"/>
            <w:left w:val="none" w:sz="0" w:space="0" w:color="auto"/>
            <w:bottom w:val="none" w:sz="0" w:space="0" w:color="auto"/>
            <w:right w:val="none" w:sz="0" w:space="0" w:color="auto"/>
          </w:divBdr>
        </w:div>
        <w:div w:id="491918140">
          <w:marLeft w:val="547"/>
          <w:marRight w:val="0"/>
          <w:marTop w:val="120"/>
          <w:marBottom w:val="0"/>
          <w:divBdr>
            <w:top w:val="none" w:sz="0" w:space="0" w:color="auto"/>
            <w:left w:val="none" w:sz="0" w:space="0" w:color="auto"/>
            <w:bottom w:val="none" w:sz="0" w:space="0" w:color="auto"/>
            <w:right w:val="none" w:sz="0" w:space="0" w:color="auto"/>
          </w:divBdr>
        </w:div>
        <w:div w:id="255942837">
          <w:marLeft w:val="547"/>
          <w:marRight w:val="0"/>
          <w:marTop w:val="120"/>
          <w:marBottom w:val="0"/>
          <w:divBdr>
            <w:top w:val="none" w:sz="0" w:space="0" w:color="auto"/>
            <w:left w:val="none" w:sz="0" w:space="0" w:color="auto"/>
            <w:bottom w:val="none" w:sz="0" w:space="0" w:color="auto"/>
            <w:right w:val="none" w:sz="0" w:space="0" w:color="auto"/>
          </w:divBdr>
        </w:div>
        <w:div w:id="867716632">
          <w:marLeft w:val="547"/>
          <w:marRight w:val="0"/>
          <w:marTop w:val="120"/>
          <w:marBottom w:val="0"/>
          <w:divBdr>
            <w:top w:val="none" w:sz="0" w:space="0" w:color="auto"/>
            <w:left w:val="none" w:sz="0" w:space="0" w:color="auto"/>
            <w:bottom w:val="none" w:sz="0" w:space="0" w:color="auto"/>
            <w:right w:val="none" w:sz="0" w:space="0" w:color="auto"/>
          </w:divBdr>
        </w:div>
        <w:div w:id="346251316">
          <w:marLeft w:val="547"/>
          <w:marRight w:val="0"/>
          <w:marTop w:val="120"/>
          <w:marBottom w:val="0"/>
          <w:divBdr>
            <w:top w:val="none" w:sz="0" w:space="0" w:color="auto"/>
            <w:left w:val="none" w:sz="0" w:space="0" w:color="auto"/>
            <w:bottom w:val="none" w:sz="0" w:space="0" w:color="auto"/>
            <w:right w:val="none" w:sz="0" w:space="0" w:color="auto"/>
          </w:divBdr>
        </w:div>
      </w:divsChild>
    </w:div>
    <w:div w:id="1607737689">
      <w:bodyDiv w:val="1"/>
      <w:marLeft w:val="0"/>
      <w:marRight w:val="0"/>
      <w:marTop w:val="0"/>
      <w:marBottom w:val="0"/>
      <w:divBdr>
        <w:top w:val="none" w:sz="0" w:space="0" w:color="auto"/>
        <w:left w:val="none" w:sz="0" w:space="0" w:color="auto"/>
        <w:bottom w:val="none" w:sz="0" w:space="0" w:color="auto"/>
        <w:right w:val="none" w:sz="0" w:space="0" w:color="auto"/>
      </w:divBdr>
    </w:div>
    <w:div w:id="1676614779">
      <w:bodyDiv w:val="1"/>
      <w:marLeft w:val="0"/>
      <w:marRight w:val="0"/>
      <w:marTop w:val="0"/>
      <w:marBottom w:val="0"/>
      <w:divBdr>
        <w:top w:val="none" w:sz="0" w:space="0" w:color="auto"/>
        <w:left w:val="none" w:sz="0" w:space="0" w:color="auto"/>
        <w:bottom w:val="none" w:sz="0" w:space="0" w:color="auto"/>
        <w:right w:val="none" w:sz="0" w:space="0" w:color="auto"/>
      </w:divBdr>
    </w:div>
    <w:div w:id="1686403952">
      <w:bodyDiv w:val="1"/>
      <w:marLeft w:val="0"/>
      <w:marRight w:val="0"/>
      <w:marTop w:val="0"/>
      <w:marBottom w:val="0"/>
      <w:divBdr>
        <w:top w:val="none" w:sz="0" w:space="0" w:color="auto"/>
        <w:left w:val="none" w:sz="0" w:space="0" w:color="auto"/>
        <w:bottom w:val="none" w:sz="0" w:space="0" w:color="auto"/>
        <w:right w:val="none" w:sz="0" w:space="0" w:color="auto"/>
      </w:divBdr>
    </w:div>
    <w:div w:id="2067333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18" Type="http://schemas.openxmlformats.org/officeDocument/2006/relationships/diagramColors" Target="diagrams/colors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diagramLayout" Target="diagrams/layout2.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diagramQuickStyle" Target="diagrams/quickStyle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diagramData" Target="diagrams/data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microsoft.com/office/2007/relationships/diagramDrawing" Target="diagrams/drawing2.xml"/><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diagramColors" Target="diagrams/colors2.xml"/><Relationship Id="rId10" Type="http://schemas.openxmlformats.org/officeDocument/2006/relationships/header" Target="header1.xml"/><Relationship Id="rId19"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3.xml"/><Relationship Id="rId22" Type="http://schemas.openxmlformats.org/officeDocument/2006/relationships/diagramQuickStyle" Target="diagrams/quickStyle2.xml"/></Relationships>
</file>

<file path=word/_rels/footnotes.xml.rels><?xml version="1.0" encoding="UTF-8" standalone="yes"?>
<Relationships xmlns="http://schemas.openxmlformats.org/package/2006/relationships"><Relationship Id="rId1" Type="http://schemas.openxmlformats.org/officeDocument/2006/relationships/hyperlink" Target="http://unstats.un.org/unsd/snaama/Introduction.asp" TargetMode="Externa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4CDAF3E-4D44-9A4A-9668-FBE20FC037D3}" type="doc">
      <dgm:prSet loTypeId="urn:microsoft.com/office/officeart/2005/8/layout/radial5" loCatId="process" qsTypeId="urn:microsoft.com/office/officeart/2005/8/quickstyle/simple2" qsCatId="simple" csTypeId="urn:microsoft.com/office/officeart/2005/8/colors/accent0_1" csCatId="mainScheme" phldr="1"/>
      <dgm:spPr/>
      <dgm:t>
        <a:bodyPr/>
        <a:lstStyle/>
        <a:p>
          <a:endParaRPr lang="en-GB"/>
        </a:p>
      </dgm:t>
    </dgm:pt>
    <dgm:pt modelId="{6EC7B845-790C-6C45-98C9-C276D475034B}">
      <dgm:prSet phldrT="[Text]" custT="1"/>
      <dgm:spPr/>
      <dgm:t>
        <a:bodyPr/>
        <a:lstStyle/>
        <a:p>
          <a:r>
            <a:rPr lang="en-GB" sz="1200" b="1"/>
            <a:t>Human Assets Index (HAI) - 60.8</a:t>
          </a:r>
        </a:p>
      </dgm:t>
    </dgm:pt>
    <dgm:pt modelId="{0A3DC4A6-34D2-0B47-B553-EAA30577C70C}" type="parTrans" cxnId="{D0322ED4-9DE0-4B41-9758-49803767B11B}">
      <dgm:prSet/>
      <dgm:spPr/>
      <dgm:t>
        <a:bodyPr/>
        <a:lstStyle/>
        <a:p>
          <a:endParaRPr lang="en-GB" sz="800"/>
        </a:p>
      </dgm:t>
    </dgm:pt>
    <dgm:pt modelId="{6D6C2FED-D542-5049-81C7-281AA2A09EBC}" type="sibTrans" cxnId="{D0322ED4-9DE0-4B41-9758-49803767B11B}">
      <dgm:prSet/>
      <dgm:spPr/>
      <dgm:t>
        <a:bodyPr/>
        <a:lstStyle/>
        <a:p>
          <a:endParaRPr lang="en-GB" sz="800"/>
        </a:p>
      </dgm:t>
    </dgm:pt>
    <dgm:pt modelId="{4D397636-EFC1-CE4A-B9F9-5D4F253830EF}">
      <dgm:prSet phldrT="[Text]" custT="1"/>
      <dgm:spPr/>
      <dgm:t>
        <a:bodyPr/>
        <a:lstStyle/>
        <a:p>
          <a:r>
            <a:rPr lang="en-GB" sz="800" b="1"/>
            <a:t>Under-five mortality rate </a:t>
          </a:r>
        </a:p>
        <a:p>
          <a:r>
            <a:rPr lang="en-GB" sz="800"/>
            <a:t>Value: 71.4 </a:t>
          </a:r>
        </a:p>
        <a:p>
          <a:r>
            <a:rPr lang="en-GB" sz="800"/>
            <a:t>Index: 62.8</a:t>
          </a:r>
        </a:p>
        <a:p>
          <a:r>
            <a:rPr lang="en-GB" sz="800"/>
            <a:t>(Source: UN IAG for Child Mortality Estimation </a:t>
          </a:r>
        </a:p>
      </dgm:t>
    </dgm:pt>
    <dgm:pt modelId="{984F62E2-DACB-784A-AE3A-539460962805}" type="parTrans" cxnId="{64BCD97A-1533-984A-B27C-5A992B8251EC}">
      <dgm:prSet custT="1"/>
      <dgm:spPr/>
      <dgm:t>
        <a:bodyPr/>
        <a:lstStyle/>
        <a:p>
          <a:endParaRPr lang="en-GB" sz="800"/>
        </a:p>
      </dgm:t>
    </dgm:pt>
    <dgm:pt modelId="{5BA3F620-A2BA-B74F-B31A-52E1BA4A36D9}" type="sibTrans" cxnId="{64BCD97A-1533-984A-B27C-5A992B8251EC}">
      <dgm:prSet/>
      <dgm:spPr/>
      <dgm:t>
        <a:bodyPr/>
        <a:lstStyle/>
        <a:p>
          <a:endParaRPr lang="en-GB" sz="800"/>
        </a:p>
      </dgm:t>
    </dgm:pt>
    <dgm:pt modelId="{8E0C3435-BBF9-7441-B595-BEB4D69087C1}">
      <dgm:prSet phldrT="[Text]" custT="1"/>
      <dgm:spPr/>
      <dgm:t>
        <a:bodyPr/>
        <a:lstStyle/>
        <a:p>
          <a:r>
            <a:rPr lang="en-GB" sz="800" b="1"/>
            <a:t>Gross secondary school enrollment ration </a:t>
          </a:r>
        </a:p>
        <a:p>
          <a:r>
            <a:rPr lang="en-GB" sz="800"/>
            <a:t>Value: 50.5 </a:t>
          </a:r>
        </a:p>
        <a:p>
          <a:r>
            <a:rPr lang="en-GB" sz="800"/>
            <a:t>Index: 45.0 </a:t>
          </a:r>
        </a:p>
        <a:p>
          <a:r>
            <a:rPr lang="en-GB" sz="800"/>
            <a:t>(Source: UNESCO) </a:t>
          </a:r>
        </a:p>
      </dgm:t>
    </dgm:pt>
    <dgm:pt modelId="{19182F05-EFF4-224A-A35D-9696CAF8FAAF}" type="parTrans" cxnId="{31F9D114-AD9B-5146-940E-E5B1A2591A3F}">
      <dgm:prSet custT="1"/>
      <dgm:spPr/>
      <dgm:t>
        <a:bodyPr/>
        <a:lstStyle/>
        <a:p>
          <a:endParaRPr lang="en-GB" sz="800"/>
        </a:p>
      </dgm:t>
    </dgm:pt>
    <dgm:pt modelId="{DE288420-E824-8E4C-8A77-8FB2E8380C84}" type="sibTrans" cxnId="{31F9D114-AD9B-5146-940E-E5B1A2591A3F}">
      <dgm:prSet/>
      <dgm:spPr/>
      <dgm:t>
        <a:bodyPr/>
        <a:lstStyle/>
        <a:p>
          <a:endParaRPr lang="en-GB" sz="800"/>
        </a:p>
      </dgm:t>
    </dgm:pt>
    <dgm:pt modelId="{BDB50521-E9F1-874D-AC31-1FEBDEE4BD86}">
      <dgm:prSet custT="1"/>
      <dgm:spPr/>
      <dgm:t>
        <a:bodyPr/>
        <a:lstStyle/>
        <a:p>
          <a:r>
            <a:rPr lang="en-GB" sz="800" b="1"/>
            <a:t>Percentage of population undernourished </a:t>
          </a:r>
        </a:p>
        <a:p>
          <a:r>
            <a:rPr lang="en-GB" sz="800"/>
            <a:t>Value: 21.8 </a:t>
          </a:r>
        </a:p>
        <a:p>
          <a:r>
            <a:rPr lang="en-GB" sz="800"/>
            <a:t>Index: 72.0</a:t>
          </a:r>
        </a:p>
        <a:p>
          <a:r>
            <a:rPr lang="en-GB" sz="800"/>
            <a:t>(Source: FAO) </a:t>
          </a:r>
        </a:p>
      </dgm:t>
    </dgm:pt>
    <dgm:pt modelId="{D145BD03-49CD-1D41-92D5-13457F158770}" type="parTrans" cxnId="{4A0BBAE3-FF28-404C-AD09-AF7936FD5D7C}">
      <dgm:prSet custT="1"/>
      <dgm:spPr/>
      <dgm:t>
        <a:bodyPr/>
        <a:lstStyle/>
        <a:p>
          <a:endParaRPr lang="en-GB" sz="800"/>
        </a:p>
      </dgm:t>
    </dgm:pt>
    <dgm:pt modelId="{53F0218B-5EFB-E74A-85A0-7469BDB5AD19}" type="sibTrans" cxnId="{4A0BBAE3-FF28-404C-AD09-AF7936FD5D7C}">
      <dgm:prSet/>
      <dgm:spPr/>
      <dgm:t>
        <a:bodyPr/>
        <a:lstStyle/>
        <a:p>
          <a:endParaRPr lang="en-GB" sz="800"/>
        </a:p>
      </dgm:t>
    </dgm:pt>
    <dgm:pt modelId="{6F98363C-35F0-C24A-8C73-D1C69DE098EC}">
      <dgm:prSet custT="1"/>
      <dgm:spPr/>
      <dgm:t>
        <a:bodyPr/>
        <a:lstStyle/>
        <a:p>
          <a:r>
            <a:rPr lang="en-GB" sz="800" b="1"/>
            <a:t>Adult literacy rate </a:t>
          </a:r>
        </a:p>
        <a:p>
          <a:r>
            <a:rPr lang="en-GB" sz="800"/>
            <a:t>Value: 72.7 </a:t>
          </a:r>
        </a:p>
        <a:p>
          <a:r>
            <a:rPr lang="en-GB" sz="800"/>
            <a:t>Index: 63.6 </a:t>
          </a:r>
        </a:p>
        <a:p>
          <a:r>
            <a:rPr lang="en-GB" sz="800"/>
            <a:t>(Source: UNESCO) </a:t>
          </a:r>
        </a:p>
      </dgm:t>
    </dgm:pt>
    <dgm:pt modelId="{863E619F-FC7D-B54A-A72D-E0E65914D357}" type="parTrans" cxnId="{37162F89-3497-384A-9CDD-A1F1A994A97C}">
      <dgm:prSet custT="1"/>
      <dgm:spPr/>
      <dgm:t>
        <a:bodyPr/>
        <a:lstStyle/>
        <a:p>
          <a:endParaRPr lang="en-GB" sz="800"/>
        </a:p>
      </dgm:t>
    </dgm:pt>
    <dgm:pt modelId="{33D65B5A-CA12-264A-AE1F-71FE1E70ED3A}" type="sibTrans" cxnId="{37162F89-3497-384A-9CDD-A1F1A994A97C}">
      <dgm:prSet/>
      <dgm:spPr/>
      <dgm:t>
        <a:bodyPr/>
        <a:lstStyle/>
        <a:p>
          <a:endParaRPr lang="en-GB" sz="800"/>
        </a:p>
      </dgm:t>
    </dgm:pt>
    <dgm:pt modelId="{5F7B3526-48F2-DA41-92FA-B92B1B6336D3}" type="pres">
      <dgm:prSet presAssocID="{C4CDAF3E-4D44-9A4A-9668-FBE20FC037D3}" presName="Name0" presStyleCnt="0">
        <dgm:presLayoutVars>
          <dgm:chMax val="1"/>
          <dgm:dir/>
          <dgm:animLvl val="ctr"/>
          <dgm:resizeHandles val="exact"/>
        </dgm:presLayoutVars>
      </dgm:prSet>
      <dgm:spPr/>
    </dgm:pt>
    <dgm:pt modelId="{359EBF04-2F79-D542-974A-7F1CD59E8A8E}" type="pres">
      <dgm:prSet presAssocID="{6EC7B845-790C-6C45-98C9-C276D475034B}" presName="centerShape" presStyleLbl="node0" presStyleIdx="0" presStyleCnt="1" custScaleX="181367" custScaleY="72546"/>
      <dgm:spPr/>
    </dgm:pt>
    <dgm:pt modelId="{36C172D4-036F-9B40-AC5A-FD4BA0A8712D}" type="pres">
      <dgm:prSet presAssocID="{984F62E2-DACB-784A-AE3A-539460962805}" presName="parTrans" presStyleLbl="sibTrans2D1" presStyleIdx="0" presStyleCnt="4"/>
      <dgm:spPr/>
    </dgm:pt>
    <dgm:pt modelId="{236E90AC-4AE1-2E4C-864D-2ABE88D29A51}" type="pres">
      <dgm:prSet presAssocID="{984F62E2-DACB-784A-AE3A-539460962805}" presName="connectorText" presStyleLbl="sibTrans2D1" presStyleIdx="0" presStyleCnt="4"/>
      <dgm:spPr/>
    </dgm:pt>
    <dgm:pt modelId="{A5A7A021-2325-AA4A-9679-5AF226CDC69F}" type="pres">
      <dgm:prSet presAssocID="{4D397636-EFC1-CE4A-B9F9-5D4F253830EF}" presName="node" presStyleLbl="node1" presStyleIdx="0" presStyleCnt="4" custScaleX="237815" custScaleY="112810" custRadScaleRad="85529" custRadScaleInc="-910">
        <dgm:presLayoutVars>
          <dgm:bulletEnabled val="1"/>
        </dgm:presLayoutVars>
      </dgm:prSet>
      <dgm:spPr/>
    </dgm:pt>
    <dgm:pt modelId="{8719426E-0F21-024F-AAAC-8EB5871A44DA}" type="pres">
      <dgm:prSet presAssocID="{19182F05-EFF4-224A-A35D-9696CAF8FAAF}" presName="parTrans" presStyleLbl="sibTrans2D1" presStyleIdx="1" presStyleCnt="4"/>
      <dgm:spPr/>
    </dgm:pt>
    <dgm:pt modelId="{5436C49C-4E25-F445-9315-E35D3B1CA270}" type="pres">
      <dgm:prSet presAssocID="{19182F05-EFF4-224A-A35D-9696CAF8FAAF}" presName="connectorText" presStyleLbl="sibTrans2D1" presStyleIdx="1" presStyleCnt="4"/>
      <dgm:spPr/>
    </dgm:pt>
    <dgm:pt modelId="{A152259A-A938-D14E-8262-6CF6D2D82724}" type="pres">
      <dgm:prSet presAssocID="{8E0C3435-BBF9-7441-B595-BEB4D69087C1}" presName="node" presStyleLbl="node1" presStyleIdx="1" presStyleCnt="4" custScaleX="253851" custScaleY="127885" custRadScaleRad="193210" custRadScaleInc="-2008">
        <dgm:presLayoutVars>
          <dgm:bulletEnabled val="1"/>
        </dgm:presLayoutVars>
      </dgm:prSet>
      <dgm:spPr/>
    </dgm:pt>
    <dgm:pt modelId="{6FD7EF6C-D719-CE42-AAB4-6FCC26CF3B09}" type="pres">
      <dgm:prSet presAssocID="{D145BD03-49CD-1D41-92D5-13457F158770}" presName="parTrans" presStyleLbl="sibTrans2D1" presStyleIdx="2" presStyleCnt="4"/>
      <dgm:spPr/>
    </dgm:pt>
    <dgm:pt modelId="{AD46986E-FA54-2B4A-BE64-5DC303E2B16F}" type="pres">
      <dgm:prSet presAssocID="{D145BD03-49CD-1D41-92D5-13457F158770}" presName="connectorText" presStyleLbl="sibTrans2D1" presStyleIdx="2" presStyleCnt="4"/>
      <dgm:spPr/>
    </dgm:pt>
    <dgm:pt modelId="{5C66A9F4-6256-B244-82F2-FD74CCA5CDDE}" type="pres">
      <dgm:prSet presAssocID="{BDB50521-E9F1-874D-AC31-1FEBDEE4BD86}" presName="node" presStyleLbl="node1" presStyleIdx="2" presStyleCnt="4" custScaleX="274543" custScaleY="100540" custRadScaleRad="89785" custRadScaleInc="2808">
        <dgm:presLayoutVars>
          <dgm:bulletEnabled val="1"/>
        </dgm:presLayoutVars>
      </dgm:prSet>
      <dgm:spPr/>
    </dgm:pt>
    <dgm:pt modelId="{5D9353EC-E35C-8D42-9A9E-46BE2BA1DD4E}" type="pres">
      <dgm:prSet presAssocID="{863E619F-FC7D-B54A-A72D-E0E65914D357}" presName="parTrans" presStyleLbl="sibTrans2D1" presStyleIdx="3" presStyleCnt="4"/>
      <dgm:spPr/>
    </dgm:pt>
    <dgm:pt modelId="{38B4D49A-4BED-064A-B5E0-5C0968FEBC9A}" type="pres">
      <dgm:prSet presAssocID="{863E619F-FC7D-B54A-A72D-E0E65914D357}" presName="connectorText" presStyleLbl="sibTrans2D1" presStyleIdx="3" presStyleCnt="4"/>
      <dgm:spPr/>
    </dgm:pt>
    <dgm:pt modelId="{0834DFE7-B009-274A-A43A-F5BAE103BA62}" type="pres">
      <dgm:prSet presAssocID="{6F98363C-35F0-C24A-8C73-D1C69DE098EC}" presName="node" presStyleLbl="node1" presStyleIdx="3" presStyleCnt="4" custScaleX="233551" custRadScaleRad="190487" custRadScaleInc="1070">
        <dgm:presLayoutVars>
          <dgm:bulletEnabled val="1"/>
        </dgm:presLayoutVars>
      </dgm:prSet>
      <dgm:spPr/>
    </dgm:pt>
  </dgm:ptLst>
  <dgm:cxnLst>
    <dgm:cxn modelId="{EB801E0C-30B8-E84F-AE83-6F7D6FBA558C}" type="presOf" srcId="{984F62E2-DACB-784A-AE3A-539460962805}" destId="{36C172D4-036F-9B40-AC5A-FD4BA0A8712D}" srcOrd="0" destOrd="0" presId="urn:microsoft.com/office/officeart/2005/8/layout/radial5"/>
    <dgm:cxn modelId="{DAABAF12-0058-5F4E-BB01-C14E37940697}" type="presOf" srcId="{863E619F-FC7D-B54A-A72D-E0E65914D357}" destId="{5D9353EC-E35C-8D42-9A9E-46BE2BA1DD4E}" srcOrd="0" destOrd="0" presId="urn:microsoft.com/office/officeart/2005/8/layout/radial5"/>
    <dgm:cxn modelId="{31F9D114-AD9B-5146-940E-E5B1A2591A3F}" srcId="{6EC7B845-790C-6C45-98C9-C276D475034B}" destId="{8E0C3435-BBF9-7441-B595-BEB4D69087C1}" srcOrd="1" destOrd="0" parTransId="{19182F05-EFF4-224A-A35D-9696CAF8FAAF}" sibTransId="{DE288420-E824-8E4C-8A77-8FB2E8380C84}"/>
    <dgm:cxn modelId="{F3895643-E9F5-E743-B872-8F71EDD3E7F7}" type="presOf" srcId="{863E619F-FC7D-B54A-A72D-E0E65914D357}" destId="{38B4D49A-4BED-064A-B5E0-5C0968FEBC9A}" srcOrd="1" destOrd="0" presId="urn:microsoft.com/office/officeart/2005/8/layout/radial5"/>
    <dgm:cxn modelId="{2EBE8176-A17E-A848-896D-8F9F0EB79475}" type="presOf" srcId="{19182F05-EFF4-224A-A35D-9696CAF8FAAF}" destId="{8719426E-0F21-024F-AAAC-8EB5871A44DA}" srcOrd="0" destOrd="0" presId="urn:microsoft.com/office/officeart/2005/8/layout/radial5"/>
    <dgm:cxn modelId="{64BCD97A-1533-984A-B27C-5A992B8251EC}" srcId="{6EC7B845-790C-6C45-98C9-C276D475034B}" destId="{4D397636-EFC1-CE4A-B9F9-5D4F253830EF}" srcOrd="0" destOrd="0" parTransId="{984F62E2-DACB-784A-AE3A-539460962805}" sibTransId="{5BA3F620-A2BA-B74F-B31A-52E1BA4A36D9}"/>
    <dgm:cxn modelId="{981B8A7E-1053-F44E-9E14-BD2CFB10701C}" type="presOf" srcId="{6F98363C-35F0-C24A-8C73-D1C69DE098EC}" destId="{0834DFE7-B009-274A-A43A-F5BAE103BA62}" srcOrd="0" destOrd="0" presId="urn:microsoft.com/office/officeart/2005/8/layout/radial5"/>
    <dgm:cxn modelId="{37162F89-3497-384A-9CDD-A1F1A994A97C}" srcId="{6EC7B845-790C-6C45-98C9-C276D475034B}" destId="{6F98363C-35F0-C24A-8C73-D1C69DE098EC}" srcOrd="3" destOrd="0" parTransId="{863E619F-FC7D-B54A-A72D-E0E65914D357}" sibTransId="{33D65B5A-CA12-264A-AE1F-71FE1E70ED3A}"/>
    <dgm:cxn modelId="{F353D58B-9B28-5740-831F-DA1F8D50F3F2}" type="presOf" srcId="{6EC7B845-790C-6C45-98C9-C276D475034B}" destId="{359EBF04-2F79-D542-974A-7F1CD59E8A8E}" srcOrd="0" destOrd="0" presId="urn:microsoft.com/office/officeart/2005/8/layout/radial5"/>
    <dgm:cxn modelId="{83697398-44D5-6449-A645-C4C3E8D939BA}" type="presOf" srcId="{D145BD03-49CD-1D41-92D5-13457F158770}" destId="{6FD7EF6C-D719-CE42-AAB4-6FCC26CF3B09}" srcOrd="0" destOrd="0" presId="urn:microsoft.com/office/officeart/2005/8/layout/radial5"/>
    <dgm:cxn modelId="{916E00A4-0663-CD4B-86E1-5E6526183B92}" type="presOf" srcId="{D145BD03-49CD-1D41-92D5-13457F158770}" destId="{AD46986E-FA54-2B4A-BE64-5DC303E2B16F}" srcOrd="1" destOrd="0" presId="urn:microsoft.com/office/officeart/2005/8/layout/radial5"/>
    <dgm:cxn modelId="{D786C5B3-5116-0B4B-9CF0-AC434BBEFA3A}" type="presOf" srcId="{8E0C3435-BBF9-7441-B595-BEB4D69087C1}" destId="{A152259A-A938-D14E-8262-6CF6D2D82724}" srcOrd="0" destOrd="0" presId="urn:microsoft.com/office/officeart/2005/8/layout/radial5"/>
    <dgm:cxn modelId="{A36206C0-9DE7-F348-912F-2E3FD6F7CFC2}" type="presOf" srcId="{C4CDAF3E-4D44-9A4A-9668-FBE20FC037D3}" destId="{5F7B3526-48F2-DA41-92FA-B92B1B6336D3}" srcOrd="0" destOrd="0" presId="urn:microsoft.com/office/officeart/2005/8/layout/radial5"/>
    <dgm:cxn modelId="{D0322ED4-9DE0-4B41-9758-49803767B11B}" srcId="{C4CDAF3E-4D44-9A4A-9668-FBE20FC037D3}" destId="{6EC7B845-790C-6C45-98C9-C276D475034B}" srcOrd="0" destOrd="0" parTransId="{0A3DC4A6-34D2-0B47-B553-EAA30577C70C}" sibTransId="{6D6C2FED-D542-5049-81C7-281AA2A09EBC}"/>
    <dgm:cxn modelId="{0D2528DC-702E-C841-AB3E-BDE8B5D740BD}" type="presOf" srcId="{BDB50521-E9F1-874D-AC31-1FEBDEE4BD86}" destId="{5C66A9F4-6256-B244-82F2-FD74CCA5CDDE}" srcOrd="0" destOrd="0" presId="urn:microsoft.com/office/officeart/2005/8/layout/radial5"/>
    <dgm:cxn modelId="{6EEEE3DF-6B27-3A4B-8AA0-971A015F2739}" type="presOf" srcId="{19182F05-EFF4-224A-A35D-9696CAF8FAAF}" destId="{5436C49C-4E25-F445-9315-E35D3B1CA270}" srcOrd="1" destOrd="0" presId="urn:microsoft.com/office/officeart/2005/8/layout/radial5"/>
    <dgm:cxn modelId="{4A0BBAE3-FF28-404C-AD09-AF7936FD5D7C}" srcId="{6EC7B845-790C-6C45-98C9-C276D475034B}" destId="{BDB50521-E9F1-874D-AC31-1FEBDEE4BD86}" srcOrd="2" destOrd="0" parTransId="{D145BD03-49CD-1D41-92D5-13457F158770}" sibTransId="{53F0218B-5EFB-E74A-85A0-7469BDB5AD19}"/>
    <dgm:cxn modelId="{6FB584E4-FE3A-9849-8743-42590109CD22}" type="presOf" srcId="{4D397636-EFC1-CE4A-B9F9-5D4F253830EF}" destId="{A5A7A021-2325-AA4A-9679-5AF226CDC69F}" srcOrd="0" destOrd="0" presId="urn:microsoft.com/office/officeart/2005/8/layout/radial5"/>
    <dgm:cxn modelId="{A5BA53FB-F224-5444-B014-42B6A4EB7F02}" type="presOf" srcId="{984F62E2-DACB-784A-AE3A-539460962805}" destId="{236E90AC-4AE1-2E4C-864D-2ABE88D29A51}" srcOrd="1" destOrd="0" presId="urn:microsoft.com/office/officeart/2005/8/layout/radial5"/>
    <dgm:cxn modelId="{97C976CB-0067-D441-BEBD-5D13B3898B9A}" type="presParOf" srcId="{5F7B3526-48F2-DA41-92FA-B92B1B6336D3}" destId="{359EBF04-2F79-D542-974A-7F1CD59E8A8E}" srcOrd="0" destOrd="0" presId="urn:microsoft.com/office/officeart/2005/8/layout/radial5"/>
    <dgm:cxn modelId="{7786F291-9D4A-E044-A9FA-DD9AD1F1AE90}" type="presParOf" srcId="{5F7B3526-48F2-DA41-92FA-B92B1B6336D3}" destId="{36C172D4-036F-9B40-AC5A-FD4BA0A8712D}" srcOrd="1" destOrd="0" presId="urn:microsoft.com/office/officeart/2005/8/layout/radial5"/>
    <dgm:cxn modelId="{450110B9-4B79-F843-9926-AE44DD77BB8A}" type="presParOf" srcId="{36C172D4-036F-9B40-AC5A-FD4BA0A8712D}" destId="{236E90AC-4AE1-2E4C-864D-2ABE88D29A51}" srcOrd="0" destOrd="0" presId="urn:microsoft.com/office/officeart/2005/8/layout/radial5"/>
    <dgm:cxn modelId="{650587FD-C2E6-9147-9540-71316A227CD6}" type="presParOf" srcId="{5F7B3526-48F2-DA41-92FA-B92B1B6336D3}" destId="{A5A7A021-2325-AA4A-9679-5AF226CDC69F}" srcOrd="2" destOrd="0" presId="urn:microsoft.com/office/officeart/2005/8/layout/radial5"/>
    <dgm:cxn modelId="{4D394621-4041-264B-A7AF-D8DE5C1B17B4}" type="presParOf" srcId="{5F7B3526-48F2-DA41-92FA-B92B1B6336D3}" destId="{8719426E-0F21-024F-AAAC-8EB5871A44DA}" srcOrd="3" destOrd="0" presId="urn:microsoft.com/office/officeart/2005/8/layout/radial5"/>
    <dgm:cxn modelId="{7948420D-D2B0-BC45-9E02-A0809947D490}" type="presParOf" srcId="{8719426E-0F21-024F-AAAC-8EB5871A44DA}" destId="{5436C49C-4E25-F445-9315-E35D3B1CA270}" srcOrd="0" destOrd="0" presId="urn:microsoft.com/office/officeart/2005/8/layout/radial5"/>
    <dgm:cxn modelId="{38C03727-526D-ED48-A975-AA7EC8539ABD}" type="presParOf" srcId="{5F7B3526-48F2-DA41-92FA-B92B1B6336D3}" destId="{A152259A-A938-D14E-8262-6CF6D2D82724}" srcOrd="4" destOrd="0" presId="urn:microsoft.com/office/officeart/2005/8/layout/radial5"/>
    <dgm:cxn modelId="{F0374E96-A548-0943-9869-EDA312F167AA}" type="presParOf" srcId="{5F7B3526-48F2-DA41-92FA-B92B1B6336D3}" destId="{6FD7EF6C-D719-CE42-AAB4-6FCC26CF3B09}" srcOrd="5" destOrd="0" presId="urn:microsoft.com/office/officeart/2005/8/layout/radial5"/>
    <dgm:cxn modelId="{9408DA03-50E7-E548-9F90-9FA03C569455}" type="presParOf" srcId="{6FD7EF6C-D719-CE42-AAB4-6FCC26CF3B09}" destId="{AD46986E-FA54-2B4A-BE64-5DC303E2B16F}" srcOrd="0" destOrd="0" presId="urn:microsoft.com/office/officeart/2005/8/layout/radial5"/>
    <dgm:cxn modelId="{23BB2ECC-D2E3-A446-B429-415B79BC5114}" type="presParOf" srcId="{5F7B3526-48F2-DA41-92FA-B92B1B6336D3}" destId="{5C66A9F4-6256-B244-82F2-FD74CCA5CDDE}" srcOrd="6" destOrd="0" presId="urn:microsoft.com/office/officeart/2005/8/layout/radial5"/>
    <dgm:cxn modelId="{91554395-A6FE-694A-8DB7-6865BBB447E1}" type="presParOf" srcId="{5F7B3526-48F2-DA41-92FA-B92B1B6336D3}" destId="{5D9353EC-E35C-8D42-9A9E-46BE2BA1DD4E}" srcOrd="7" destOrd="0" presId="urn:microsoft.com/office/officeart/2005/8/layout/radial5"/>
    <dgm:cxn modelId="{E98705CE-7FDA-CF41-A9C1-31884DA508AF}" type="presParOf" srcId="{5D9353EC-E35C-8D42-9A9E-46BE2BA1DD4E}" destId="{38B4D49A-4BED-064A-B5E0-5C0968FEBC9A}" srcOrd="0" destOrd="0" presId="urn:microsoft.com/office/officeart/2005/8/layout/radial5"/>
    <dgm:cxn modelId="{5BA9025E-0ACA-F546-87DE-3CC8CB2C6527}" type="presParOf" srcId="{5F7B3526-48F2-DA41-92FA-B92B1B6336D3}" destId="{0834DFE7-B009-274A-A43A-F5BAE103BA62}" srcOrd="8" destOrd="0" presId="urn:microsoft.com/office/officeart/2005/8/layout/radial5"/>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BBB1030-B1E1-8048-8C9A-9AFC2F82AE2A}" type="doc">
      <dgm:prSet loTypeId="urn:microsoft.com/office/officeart/2005/8/layout/radial5" loCatId="process" qsTypeId="urn:microsoft.com/office/officeart/2005/8/quickstyle/simple2" qsCatId="simple" csTypeId="urn:microsoft.com/office/officeart/2005/8/colors/accent0_1" csCatId="mainScheme" phldr="1"/>
      <dgm:spPr/>
      <dgm:t>
        <a:bodyPr/>
        <a:lstStyle/>
        <a:p>
          <a:endParaRPr lang="en-GB"/>
        </a:p>
      </dgm:t>
    </dgm:pt>
    <dgm:pt modelId="{89EC19FD-0A41-FE4A-9993-073EE398BEE4}">
      <dgm:prSet phldrT="[Text]" custT="1"/>
      <dgm:spPr/>
      <dgm:t>
        <a:bodyPr/>
        <a:lstStyle/>
        <a:p>
          <a:r>
            <a:rPr lang="en-GB" sz="1200" b="1"/>
            <a:t>Economic vulnerability Index (EVI) </a:t>
          </a:r>
        </a:p>
        <a:p>
          <a:r>
            <a:rPr lang="en-GB" sz="1200" b="1"/>
            <a:t>36.2</a:t>
          </a:r>
        </a:p>
      </dgm:t>
    </dgm:pt>
    <dgm:pt modelId="{0862FD1A-58ED-1C48-B866-616162FBF263}" type="parTrans" cxnId="{85613B24-1C05-DE4F-8368-2376B2869680}">
      <dgm:prSet/>
      <dgm:spPr/>
      <dgm:t>
        <a:bodyPr/>
        <a:lstStyle/>
        <a:p>
          <a:endParaRPr lang="en-GB" sz="800"/>
        </a:p>
      </dgm:t>
    </dgm:pt>
    <dgm:pt modelId="{D913E468-EE7F-2044-95F3-03D266A2A059}" type="sibTrans" cxnId="{85613B24-1C05-DE4F-8368-2376B2869680}">
      <dgm:prSet/>
      <dgm:spPr/>
      <dgm:t>
        <a:bodyPr/>
        <a:lstStyle/>
        <a:p>
          <a:endParaRPr lang="en-GB" sz="800"/>
        </a:p>
      </dgm:t>
    </dgm:pt>
    <dgm:pt modelId="{867B87EA-4800-8F45-BA7E-811501854F4B}">
      <dgm:prSet phldrT="[Text]" custT="1"/>
      <dgm:spPr/>
      <dgm:t>
        <a:bodyPr/>
        <a:lstStyle/>
        <a:p>
          <a:r>
            <a:rPr lang="en-GB" sz="800" b="1"/>
            <a:t>Population </a:t>
          </a:r>
        </a:p>
        <a:p>
          <a:r>
            <a:rPr lang="en-GB" sz="800"/>
            <a:t>Value: 6,769,727</a:t>
          </a:r>
        </a:p>
        <a:p>
          <a:r>
            <a:rPr lang="en-GB" sz="800"/>
            <a:t>Index: 41.4</a:t>
          </a:r>
        </a:p>
        <a:p>
          <a:r>
            <a:rPr lang="en-GB" sz="800"/>
            <a:t>(Source: UN/DESA, Population Division) </a:t>
          </a:r>
        </a:p>
      </dgm:t>
    </dgm:pt>
    <dgm:pt modelId="{B363F7DC-4208-A24D-B4FE-F39BE5D7DFD1}" type="parTrans" cxnId="{243F8EA5-E630-CC44-9EB6-815060FC2D49}">
      <dgm:prSet custT="1"/>
      <dgm:spPr/>
      <dgm:t>
        <a:bodyPr/>
        <a:lstStyle/>
        <a:p>
          <a:endParaRPr lang="en-GB" sz="800"/>
        </a:p>
      </dgm:t>
    </dgm:pt>
    <dgm:pt modelId="{6FF3CDA7-8483-EE4F-961E-B1EA5EE9372F}" type="sibTrans" cxnId="{243F8EA5-E630-CC44-9EB6-815060FC2D49}">
      <dgm:prSet/>
      <dgm:spPr/>
      <dgm:t>
        <a:bodyPr/>
        <a:lstStyle/>
        <a:p>
          <a:endParaRPr lang="en-GB" sz="800"/>
        </a:p>
      </dgm:t>
    </dgm:pt>
    <dgm:pt modelId="{05B76D89-2D28-8141-943F-8C6F6E44D203}">
      <dgm:prSet phldrT="[Text]" custT="1"/>
      <dgm:spPr/>
      <dgm:t>
        <a:bodyPr/>
        <a:lstStyle/>
        <a:p>
          <a:r>
            <a:rPr lang="en-GB" sz="800" b="1"/>
            <a:t>Remoteness </a:t>
          </a:r>
        </a:p>
        <a:p>
          <a:r>
            <a:rPr lang="en-GB" sz="800"/>
            <a:t>Value: 57.7</a:t>
          </a:r>
        </a:p>
        <a:p>
          <a:r>
            <a:rPr lang="en-GB" sz="800"/>
            <a:t>Index: 58.8</a:t>
          </a:r>
        </a:p>
        <a:p>
          <a:r>
            <a:rPr lang="en-GB" sz="800"/>
            <a:t>(Source: CDP)</a:t>
          </a:r>
        </a:p>
        <a:p>
          <a:endParaRPr lang="en-GB" sz="800"/>
        </a:p>
      </dgm:t>
    </dgm:pt>
    <dgm:pt modelId="{C0C87730-B896-B842-9FA5-BFAD68106181}" type="parTrans" cxnId="{644DCC07-1F89-C542-817D-B44036F8CE50}">
      <dgm:prSet custT="1"/>
      <dgm:spPr/>
      <dgm:t>
        <a:bodyPr/>
        <a:lstStyle/>
        <a:p>
          <a:endParaRPr lang="en-GB" sz="800"/>
        </a:p>
      </dgm:t>
    </dgm:pt>
    <dgm:pt modelId="{144542F3-443B-F74F-95D5-A3CCAE6F1813}" type="sibTrans" cxnId="{644DCC07-1F89-C542-817D-B44036F8CE50}">
      <dgm:prSet/>
      <dgm:spPr/>
      <dgm:t>
        <a:bodyPr/>
        <a:lstStyle/>
        <a:p>
          <a:endParaRPr lang="en-GB" sz="800"/>
        </a:p>
      </dgm:t>
    </dgm:pt>
    <dgm:pt modelId="{35ACED03-6883-0F46-9ADF-94D8B859140F}">
      <dgm:prSet phldrT="[Text]" custT="1"/>
      <dgm:spPr/>
      <dgm:t>
        <a:bodyPr/>
        <a:lstStyle/>
        <a:p>
          <a:r>
            <a:rPr lang="en-GB" sz="800" b="1"/>
            <a:t>Merchandise export concentration </a:t>
          </a:r>
        </a:p>
        <a:p>
          <a:r>
            <a:rPr lang="en-GB" sz="800"/>
            <a:t>Value: 0.29</a:t>
          </a:r>
        </a:p>
        <a:p>
          <a:r>
            <a:rPr lang="en-GB" sz="800"/>
            <a:t>Index: 22.4 </a:t>
          </a:r>
        </a:p>
        <a:p>
          <a:r>
            <a:rPr lang="en-GB" sz="800"/>
            <a:t>(Source: UNCTAD) </a:t>
          </a:r>
        </a:p>
      </dgm:t>
    </dgm:pt>
    <dgm:pt modelId="{A9F9BF23-97F4-E245-89F8-AA7C4E6B7B43}" type="parTrans" cxnId="{FB67233F-181A-9D48-A52C-B30FDBAA32C6}">
      <dgm:prSet custT="1"/>
      <dgm:spPr/>
      <dgm:t>
        <a:bodyPr/>
        <a:lstStyle/>
        <a:p>
          <a:endParaRPr lang="en-GB" sz="800"/>
        </a:p>
      </dgm:t>
    </dgm:pt>
    <dgm:pt modelId="{901D0E1F-B971-7546-BE2E-CF419EB0EF1D}" type="sibTrans" cxnId="{FB67233F-181A-9D48-A52C-B30FDBAA32C6}">
      <dgm:prSet/>
      <dgm:spPr/>
      <dgm:t>
        <a:bodyPr/>
        <a:lstStyle/>
        <a:p>
          <a:endParaRPr lang="en-GB" sz="800"/>
        </a:p>
      </dgm:t>
    </dgm:pt>
    <dgm:pt modelId="{F51C974D-D17C-614A-9D01-9B896C70D546}">
      <dgm:prSet phldrT="[Text]" custT="1"/>
      <dgm:spPr/>
      <dgm:t>
        <a:bodyPr/>
        <a:lstStyle/>
        <a:p>
          <a:r>
            <a:rPr lang="en-GB" sz="800" b="1"/>
            <a:t>Share of agriculture, forestry and fishing in GDP </a:t>
          </a:r>
        </a:p>
        <a:p>
          <a:r>
            <a:rPr lang="en-GB" sz="800"/>
            <a:t>Value: 25.7 </a:t>
          </a:r>
        </a:p>
        <a:p>
          <a:r>
            <a:rPr lang="en-GB" sz="800"/>
            <a:t>Index: 41.9 </a:t>
          </a:r>
        </a:p>
        <a:p>
          <a:r>
            <a:rPr lang="en-GB" sz="800"/>
            <a:t>(Source: UN/DESA, Statistics Dvision) </a:t>
          </a:r>
        </a:p>
      </dgm:t>
    </dgm:pt>
    <dgm:pt modelId="{4CDB5392-C86A-334D-B812-A609F113D85E}" type="parTrans" cxnId="{8F2BBB9D-822F-3A49-88E3-A735CA0B938D}">
      <dgm:prSet custT="1"/>
      <dgm:spPr/>
      <dgm:t>
        <a:bodyPr/>
        <a:lstStyle/>
        <a:p>
          <a:endParaRPr lang="en-GB" sz="800"/>
        </a:p>
      </dgm:t>
    </dgm:pt>
    <dgm:pt modelId="{388C0A48-5F4D-8843-B04A-60DF53B1F31C}" type="sibTrans" cxnId="{8F2BBB9D-822F-3A49-88E3-A735CA0B938D}">
      <dgm:prSet/>
      <dgm:spPr/>
      <dgm:t>
        <a:bodyPr/>
        <a:lstStyle/>
        <a:p>
          <a:endParaRPr lang="en-GB" sz="800"/>
        </a:p>
      </dgm:t>
    </dgm:pt>
    <dgm:pt modelId="{FEEAC2F4-A88A-DA49-A16B-A56452AE78EB}">
      <dgm:prSet custT="1"/>
      <dgm:spPr/>
      <dgm:t>
        <a:bodyPr/>
        <a:lstStyle/>
        <a:p>
          <a:r>
            <a:rPr lang="en-GB" sz="800" b="1"/>
            <a:t>Share of population in low elevated coastal zones </a:t>
          </a:r>
        </a:p>
        <a:p>
          <a:r>
            <a:rPr lang="en-GB" sz="800"/>
            <a:t>Value: 0</a:t>
          </a:r>
        </a:p>
        <a:p>
          <a:r>
            <a:rPr lang="en-GB" sz="800"/>
            <a:t>Index: 0</a:t>
          </a:r>
        </a:p>
        <a:p>
          <a:r>
            <a:rPr lang="en-GB" sz="800"/>
            <a:t>(Source: CIESIN) </a:t>
          </a:r>
        </a:p>
      </dgm:t>
    </dgm:pt>
    <dgm:pt modelId="{D0B687CC-8DA1-294D-85BA-8DDCFB70A330}" type="parTrans" cxnId="{05E85B75-B0E4-7947-AC76-624B9CAD02A7}">
      <dgm:prSet custT="1"/>
      <dgm:spPr/>
      <dgm:t>
        <a:bodyPr/>
        <a:lstStyle/>
        <a:p>
          <a:endParaRPr lang="en-GB" sz="800"/>
        </a:p>
      </dgm:t>
    </dgm:pt>
    <dgm:pt modelId="{463A348C-50A7-E44A-BE4B-E9DFC013A1A8}" type="sibTrans" cxnId="{05E85B75-B0E4-7947-AC76-624B9CAD02A7}">
      <dgm:prSet/>
      <dgm:spPr/>
      <dgm:t>
        <a:bodyPr/>
        <a:lstStyle/>
        <a:p>
          <a:endParaRPr lang="en-GB" sz="800"/>
        </a:p>
      </dgm:t>
    </dgm:pt>
    <dgm:pt modelId="{3B653DEE-DC33-7047-A1C1-202FA9BFDEED}">
      <dgm:prSet custT="1"/>
      <dgm:spPr/>
      <dgm:t>
        <a:bodyPr/>
        <a:lstStyle/>
        <a:p>
          <a:r>
            <a:rPr lang="en-GB" sz="800" b="1"/>
            <a:t>Instability of exports of goods and services </a:t>
          </a:r>
        </a:p>
        <a:p>
          <a:r>
            <a:rPr lang="en-GB" sz="800"/>
            <a:t>Value: 12.2 </a:t>
          </a:r>
        </a:p>
        <a:p>
          <a:r>
            <a:rPr lang="en-GB" sz="800"/>
            <a:t>Index: 24.2 </a:t>
          </a:r>
        </a:p>
        <a:p>
          <a:r>
            <a:rPr lang="en-GB" sz="800"/>
            <a:t>(Source: UN/DESA, Statistics Division) </a:t>
          </a:r>
        </a:p>
      </dgm:t>
    </dgm:pt>
    <dgm:pt modelId="{C24BBD57-3D68-654B-BAEE-1C5930772CC4}" type="parTrans" cxnId="{CBA15EBE-6752-AA4A-95BA-5D1F907B1E00}">
      <dgm:prSet custT="1"/>
      <dgm:spPr/>
      <dgm:t>
        <a:bodyPr/>
        <a:lstStyle/>
        <a:p>
          <a:endParaRPr lang="en-GB" sz="800"/>
        </a:p>
      </dgm:t>
    </dgm:pt>
    <dgm:pt modelId="{0A4B9356-F362-1D44-9EA3-6789E23315CA}" type="sibTrans" cxnId="{CBA15EBE-6752-AA4A-95BA-5D1F907B1E00}">
      <dgm:prSet/>
      <dgm:spPr/>
      <dgm:t>
        <a:bodyPr/>
        <a:lstStyle/>
        <a:p>
          <a:endParaRPr lang="en-GB" sz="800"/>
        </a:p>
      </dgm:t>
    </dgm:pt>
    <dgm:pt modelId="{6157F376-0DF2-0D41-8760-19302C11156B}">
      <dgm:prSet custT="1"/>
      <dgm:spPr/>
      <dgm:t>
        <a:bodyPr/>
        <a:lstStyle/>
        <a:p>
          <a:r>
            <a:rPr lang="en-GB" sz="800" b="1"/>
            <a:t>Victims of natural disasters </a:t>
          </a:r>
        </a:p>
        <a:p>
          <a:r>
            <a:rPr lang="en-GB" sz="800"/>
            <a:t>Value: 4.292 </a:t>
          </a:r>
        </a:p>
        <a:p>
          <a:r>
            <a:rPr lang="en-GB" sz="800"/>
            <a:t>Index: 88.9 </a:t>
          </a:r>
        </a:p>
        <a:p>
          <a:r>
            <a:rPr lang="en-GB" sz="800"/>
            <a:t>(Source: EM-DAT) </a:t>
          </a:r>
        </a:p>
      </dgm:t>
    </dgm:pt>
    <dgm:pt modelId="{4DD30457-1268-2C44-9210-0ADA9E5EAFA4}" type="parTrans" cxnId="{04331E2F-7239-1C4E-AABD-50F42C56994A}">
      <dgm:prSet custT="1"/>
      <dgm:spPr/>
      <dgm:t>
        <a:bodyPr/>
        <a:lstStyle/>
        <a:p>
          <a:endParaRPr lang="en-GB" sz="800"/>
        </a:p>
      </dgm:t>
    </dgm:pt>
    <dgm:pt modelId="{2DB7018C-32BC-514D-AC87-BE4EFED83519}" type="sibTrans" cxnId="{04331E2F-7239-1C4E-AABD-50F42C56994A}">
      <dgm:prSet/>
      <dgm:spPr/>
      <dgm:t>
        <a:bodyPr/>
        <a:lstStyle/>
        <a:p>
          <a:endParaRPr lang="en-GB" sz="800"/>
        </a:p>
      </dgm:t>
    </dgm:pt>
    <dgm:pt modelId="{3F59D324-358C-7144-A90A-7428EF7F89CC}">
      <dgm:prSet custT="1"/>
      <dgm:spPr/>
      <dgm:t>
        <a:bodyPr/>
        <a:lstStyle/>
        <a:p>
          <a:r>
            <a:rPr lang="en-GB" sz="800" b="1"/>
            <a:t>Instability of agricultural production </a:t>
          </a:r>
        </a:p>
        <a:p>
          <a:r>
            <a:rPr lang="en-GB" sz="800"/>
            <a:t>Value: 5.3 </a:t>
          </a:r>
        </a:p>
        <a:p>
          <a:r>
            <a:rPr lang="en-GB" sz="800"/>
            <a:t>Index: 20.4 </a:t>
          </a:r>
        </a:p>
        <a:p>
          <a:r>
            <a:rPr lang="en-GB" sz="800"/>
            <a:t>(Source: FAO) </a:t>
          </a:r>
        </a:p>
      </dgm:t>
    </dgm:pt>
    <dgm:pt modelId="{8DA091BA-29BB-D947-9A73-98CCA306592D}" type="parTrans" cxnId="{7009A675-B33F-9043-8ACF-12D07F33C92D}">
      <dgm:prSet custT="1"/>
      <dgm:spPr/>
      <dgm:t>
        <a:bodyPr/>
        <a:lstStyle/>
        <a:p>
          <a:endParaRPr lang="en-GB" sz="800"/>
        </a:p>
      </dgm:t>
    </dgm:pt>
    <dgm:pt modelId="{A465F6AA-9AC7-A842-A9F8-141F4C0ADF86}" type="sibTrans" cxnId="{7009A675-B33F-9043-8ACF-12D07F33C92D}">
      <dgm:prSet/>
      <dgm:spPr/>
      <dgm:t>
        <a:bodyPr/>
        <a:lstStyle/>
        <a:p>
          <a:endParaRPr lang="en-GB" sz="800"/>
        </a:p>
      </dgm:t>
    </dgm:pt>
    <dgm:pt modelId="{9F827091-C8B1-154C-931A-669C8F09D56A}" type="pres">
      <dgm:prSet presAssocID="{1BBB1030-B1E1-8048-8C9A-9AFC2F82AE2A}" presName="Name0" presStyleCnt="0">
        <dgm:presLayoutVars>
          <dgm:chMax val="1"/>
          <dgm:dir/>
          <dgm:animLvl val="ctr"/>
          <dgm:resizeHandles val="exact"/>
        </dgm:presLayoutVars>
      </dgm:prSet>
      <dgm:spPr/>
    </dgm:pt>
    <dgm:pt modelId="{9DC7E1CF-190A-B34D-89CB-D3B12D42E84E}" type="pres">
      <dgm:prSet presAssocID="{89EC19FD-0A41-FE4A-9993-073EE398BEE4}" presName="centerShape" presStyleLbl="node0" presStyleIdx="0" presStyleCnt="1" custScaleX="127096"/>
      <dgm:spPr/>
    </dgm:pt>
    <dgm:pt modelId="{46391387-1A40-7A4B-AE63-71CD40D00974}" type="pres">
      <dgm:prSet presAssocID="{B363F7DC-4208-A24D-B4FE-F39BE5D7DFD1}" presName="parTrans" presStyleLbl="sibTrans2D1" presStyleIdx="0" presStyleCnt="8"/>
      <dgm:spPr/>
    </dgm:pt>
    <dgm:pt modelId="{F66B3EBD-3B15-3743-9345-5E0E27EAE769}" type="pres">
      <dgm:prSet presAssocID="{B363F7DC-4208-A24D-B4FE-F39BE5D7DFD1}" presName="connectorText" presStyleLbl="sibTrans2D1" presStyleIdx="0" presStyleCnt="8"/>
      <dgm:spPr/>
    </dgm:pt>
    <dgm:pt modelId="{48474C95-46BE-F147-ADA2-628860503E05}" type="pres">
      <dgm:prSet presAssocID="{867B87EA-4800-8F45-BA7E-811501854F4B}" presName="node" presStyleLbl="node1" presStyleIdx="0" presStyleCnt="8" custScaleX="132486" custScaleY="103841" custRadScaleRad="92524" custRadScaleInc="1207">
        <dgm:presLayoutVars>
          <dgm:bulletEnabled val="1"/>
        </dgm:presLayoutVars>
      </dgm:prSet>
      <dgm:spPr/>
    </dgm:pt>
    <dgm:pt modelId="{03360991-8C39-9B4D-903C-A22915E44C04}" type="pres">
      <dgm:prSet presAssocID="{C0C87730-B896-B842-9FA5-BFAD68106181}" presName="parTrans" presStyleLbl="sibTrans2D1" presStyleIdx="1" presStyleCnt="8"/>
      <dgm:spPr/>
    </dgm:pt>
    <dgm:pt modelId="{786561D8-7936-7B46-80D1-9285D3A07AF7}" type="pres">
      <dgm:prSet presAssocID="{C0C87730-B896-B842-9FA5-BFAD68106181}" presName="connectorText" presStyleLbl="sibTrans2D1" presStyleIdx="1" presStyleCnt="8"/>
      <dgm:spPr/>
    </dgm:pt>
    <dgm:pt modelId="{EAE578A1-C8B4-0C4D-827B-780DB60DA326}" type="pres">
      <dgm:prSet presAssocID="{05B76D89-2D28-8141-943F-8C6F6E44D203}" presName="node" presStyleLbl="node1" presStyleIdx="1" presStyleCnt="8" custScaleX="115178" custScaleY="90685">
        <dgm:presLayoutVars>
          <dgm:bulletEnabled val="1"/>
        </dgm:presLayoutVars>
      </dgm:prSet>
      <dgm:spPr/>
    </dgm:pt>
    <dgm:pt modelId="{4B59F5A5-AB2C-2042-BC1B-3C55C0B54D20}" type="pres">
      <dgm:prSet presAssocID="{A9F9BF23-97F4-E245-89F8-AA7C4E6B7B43}" presName="parTrans" presStyleLbl="sibTrans2D1" presStyleIdx="2" presStyleCnt="8"/>
      <dgm:spPr/>
    </dgm:pt>
    <dgm:pt modelId="{9CCFE6A3-FBEC-0D4A-9667-1016C05C1246}" type="pres">
      <dgm:prSet presAssocID="{A9F9BF23-97F4-E245-89F8-AA7C4E6B7B43}" presName="connectorText" presStyleLbl="sibTrans2D1" presStyleIdx="2" presStyleCnt="8"/>
      <dgm:spPr/>
    </dgm:pt>
    <dgm:pt modelId="{7461601C-58B5-DB44-A745-85B0DCA9602B}" type="pres">
      <dgm:prSet presAssocID="{35ACED03-6883-0F46-9ADF-94D8B859140F}" presName="node" presStyleLbl="node1" presStyleIdx="2" presStyleCnt="8" custScaleX="118453" custScaleY="117242" custRadScaleRad="100011" custRadScaleInc="-33437">
        <dgm:presLayoutVars>
          <dgm:bulletEnabled val="1"/>
        </dgm:presLayoutVars>
      </dgm:prSet>
      <dgm:spPr/>
    </dgm:pt>
    <dgm:pt modelId="{744211B3-5E3B-C64D-B86E-FE5FE34A3689}" type="pres">
      <dgm:prSet presAssocID="{4CDB5392-C86A-334D-B812-A609F113D85E}" presName="parTrans" presStyleLbl="sibTrans2D1" presStyleIdx="3" presStyleCnt="8"/>
      <dgm:spPr/>
    </dgm:pt>
    <dgm:pt modelId="{4C56698B-A1F0-6C46-8BB4-BF71EC921730}" type="pres">
      <dgm:prSet presAssocID="{4CDB5392-C86A-334D-B812-A609F113D85E}" presName="connectorText" presStyleLbl="sibTrans2D1" presStyleIdx="3" presStyleCnt="8"/>
      <dgm:spPr/>
    </dgm:pt>
    <dgm:pt modelId="{C14D1248-77E9-A04E-A7EE-4BF59A8D5F78}" type="pres">
      <dgm:prSet presAssocID="{F51C974D-D17C-614A-9D01-9B896C70D546}" presName="node" presStyleLbl="node1" presStyleIdx="3" presStyleCnt="8" custScaleX="126352" custScaleY="140575" custRadScaleRad="102843" custRadScaleInc="-10165">
        <dgm:presLayoutVars>
          <dgm:bulletEnabled val="1"/>
        </dgm:presLayoutVars>
      </dgm:prSet>
      <dgm:spPr/>
    </dgm:pt>
    <dgm:pt modelId="{44C4D112-DC71-7E47-BBF3-81FD84A64F39}" type="pres">
      <dgm:prSet presAssocID="{D0B687CC-8DA1-294D-85BA-8DDCFB70A330}" presName="parTrans" presStyleLbl="sibTrans2D1" presStyleIdx="4" presStyleCnt="8"/>
      <dgm:spPr/>
    </dgm:pt>
    <dgm:pt modelId="{C7C07BC6-3EB9-CA4C-96BE-245FFB7992C8}" type="pres">
      <dgm:prSet presAssocID="{D0B687CC-8DA1-294D-85BA-8DDCFB70A330}" presName="connectorText" presStyleLbl="sibTrans2D1" presStyleIdx="4" presStyleCnt="8"/>
      <dgm:spPr/>
    </dgm:pt>
    <dgm:pt modelId="{1BE531F0-C9D4-AC4D-AB76-75B0F92963B0}" type="pres">
      <dgm:prSet presAssocID="{FEEAC2F4-A88A-DA49-A16B-A56452AE78EB}" presName="node" presStyleLbl="node1" presStyleIdx="4" presStyleCnt="8" custScaleX="129825" custScaleY="101090">
        <dgm:presLayoutVars>
          <dgm:bulletEnabled val="1"/>
        </dgm:presLayoutVars>
      </dgm:prSet>
      <dgm:spPr/>
    </dgm:pt>
    <dgm:pt modelId="{16790C9F-08F8-8C43-965E-E83124B5F10F}" type="pres">
      <dgm:prSet presAssocID="{C24BBD57-3D68-654B-BAEE-1C5930772CC4}" presName="parTrans" presStyleLbl="sibTrans2D1" presStyleIdx="5" presStyleCnt="8"/>
      <dgm:spPr/>
    </dgm:pt>
    <dgm:pt modelId="{7903B380-501E-B64E-99C4-96B018A621ED}" type="pres">
      <dgm:prSet presAssocID="{C24BBD57-3D68-654B-BAEE-1C5930772CC4}" presName="connectorText" presStyleLbl="sibTrans2D1" presStyleIdx="5" presStyleCnt="8"/>
      <dgm:spPr/>
    </dgm:pt>
    <dgm:pt modelId="{C24F78D4-2786-F040-8089-ACC0E2328E7B}" type="pres">
      <dgm:prSet presAssocID="{3B653DEE-DC33-7047-A1C1-202FA9BFDEED}" presName="node" presStyleLbl="node1" presStyleIdx="5" presStyleCnt="8" custScaleX="139014" custScaleY="121686" custRadScaleRad="107961" custRadScaleInc="7100">
        <dgm:presLayoutVars>
          <dgm:bulletEnabled val="1"/>
        </dgm:presLayoutVars>
      </dgm:prSet>
      <dgm:spPr/>
    </dgm:pt>
    <dgm:pt modelId="{B18D55F1-8146-7445-ACDD-05FEBAEAE716}" type="pres">
      <dgm:prSet presAssocID="{4DD30457-1268-2C44-9210-0ADA9E5EAFA4}" presName="parTrans" presStyleLbl="sibTrans2D1" presStyleIdx="6" presStyleCnt="8"/>
      <dgm:spPr/>
    </dgm:pt>
    <dgm:pt modelId="{0E2CD0A3-0A85-B849-99D9-8887711D97A9}" type="pres">
      <dgm:prSet presAssocID="{4DD30457-1268-2C44-9210-0ADA9E5EAFA4}" presName="connectorText" presStyleLbl="sibTrans2D1" presStyleIdx="6" presStyleCnt="8"/>
      <dgm:spPr/>
    </dgm:pt>
    <dgm:pt modelId="{AF7AB481-2278-EF4B-B6E6-1EDFFCDE0A4F}" type="pres">
      <dgm:prSet presAssocID="{6157F376-0DF2-0D41-8760-19302C11156B}" presName="node" presStyleLbl="node1" presStyleIdx="6" presStyleCnt="8" custScaleX="122347">
        <dgm:presLayoutVars>
          <dgm:bulletEnabled val="1"/>
        </dgm:presLayoutVars>
      </dgm:prSet>
      <dgm:spPr/>
    </dgm:pt>
    <dgm:pt modelId="{73532FC8-878F-CB4D-891F-A0DFBF6FF0CB}" type="pres">
      <dgm:prSet presAssocID="{8DA091BA-29BB-D947-9A73-98CCA306592D}" presName="parTrans" presStyleLbl="sibTrans2D1" presStyleIdx="7" presStyleCnt="8"/>
      <dgm:spPr/>
    </dgm:pt>
    <dgm:pt modelId="{8C914C58-19CC-B241-9B0D-D8A81E457DE5}" type="pres">
      <dgm:prSet presAssocID="{8DA091BA-29BB-D947-9A73-98CCA306592D}" presName="connectorText" presStyleLbl="sibTrans2D1" presStyleIdx="7" presStyleCnt="8"/>
      <dgm:spPr/>
    </dgm:pt>
    <dgm:pt modelId="{D4C00EDE-0D15-8C4A-936E-DD658B3F8E54}" type="pres">
      <dgm:prSet presAssocID="{3F59D324-358C-7144-A90A-7428EF7F89CC}" presName="node" presStyleLbl="node1" presStyleIdx="7" presStyleCnt="8" custScaleX="126501" custRadScaleRad="103993" custRadScaleInc="-3534">
        <dgm:presLayoutVars>
          <dgm:bulletEnabled val="1"/>
        </dgm:presLayoutVars>
      </dgm:prSet>
      <dgm:spPr/>
    </dgm:pt>
  </dgm:ptLst>
  <dgm:cxnLst>
    <dgm:cxn modelId="{FDE2B900-A5F3-C847-BDFD-AE6927DD3307}" type="presOf" srcId="{C0C87730-B896-B842-9FA5-BFAD68106181}" destId="{786561D8-7936-7B46-80D1-9285D3A07AF7}" srcOrd="1" destOrd="0" presId="urn:microsoft.com/office/officeart/2005/8/layout/radial5"/>
    <dgm:cxn modelId="{644DCC07-1F89-C542-817D-B44036F8CE50}" srcId="{89EC19FD-0A41-FE4A-9993-073EE398BEE4}" destId="{05B76D89-2D28-8141-943F-8C6F6E44D203}" srcOrd="1" destOrd="0" parTransId="{C0C87730-B896-B842-9FA5-BFAD68106181}" sibTransId="{144542F3-443B-F74F-95D5-A3CCAE6F1813}"/>
    <dgm:cxn modelId="{32B47323-3DCC-904D-8DCC-5B17A333A985}" type="presOf" srcId="{6157F376-0DF2-0D41-8760-19302C11156B}" destId="{AF7AB481-2278-EF4B-B6E6-1EDFFCDE0A4F}" srcOrd="0" destOrd="0" presId="urn:microsoft.com/office/officeart/2005/8/layout/radial5"/>
    <dgm:cxn modelId="{85613B24-1C05-DE4F-8368-2376B2869680}" srcId="{1BBB1030-B1E1-8048-8C9A-9AFC2F82AE2A}" destId="{89EC19FD-0A41-FE4A-9993-073EE398BEE4}" srcOrd="0" destOrd="0" parTransId="{0862FD1A-58ED-1C48-B866-616162FBF263}" sibTransId="{D913E468-EE7F-2044-95F3-03D266A2A059}"/>
    <dgm:cxn modelId="{DF35CE24-98B7-ED4B-9618-AFA042C2F0BF}" type="presOf" srcId="{4CDB5392-C86A-334D-B812-A609F113D85E}" destId="{744211B3-5E3B-C64D-B86E-FE5FE34A3689}" srcOrd="0" destOrd="0" presId="urn:microsoft.com/office/officeart/2005/8/layout/radial5"/>
    <dgm:cxn modelId="{27B3DD28-86C1-524A-9D29-9E9AE79216D9}" type="presOf" srcId="{867B87EA-4800-8F45-BA7E-811501854F4B}" destId="{48474C95-46BE-F147-ADA2-628860503E05}" srcOrd="0" destOrd="0" presId="urn:microsoft.com/office/officeart/2005/8/layout/radial5"/>
    <dgm:cxn modelId="{04331E2F-7239-1C4E-AABD-50F42C56994A}" srcId="{89EC19FD-0A41-FE4A-9993-073EE398BEE4}" destId="{6157F376-0DF2-0D41-8760-19302C11156B}" srcOrd="6" destOrd="0" parTransId="{4DD30457-1268-2C44-9210-0ADA9E5EAFA4}" sibTransId="{2DB7018C-32BC-514D-AC87-BE4EFED83519}"/>
    <dgm:cxn modelId="{8C009738-F572-C443-9A65-1B0885247E8B}" type="presOf" srcId="{1BBB1030-B1E1-8048-8C9A-9AFC2F82AE2A}" destId="{9F827091-C8B1-154C-931A-669C8F09D56A}" srcOrd="0" destOrd="0" presId="urn:microsoft.com/office/officeart/2005/8/layout/radial5"/>
    <dgm:cxn modelId="{FB67233F-181A-9D48-A52C-B30FDBAA32C6}" srcId="{89EC19FD-0A41-FE4A-9993-073EE398BEE4}" destId="{35ACED03-6883-0F46-9ADF-94D8B859140F}" srcOrd="2" destOrd="0" parTransId="{A9F9BF23-97F4-E245-89F8-AA7C4E6B7B43}" sibTransId="{901D0E1F-B971-7546-BE2E-CF419EB0EF1D}"/>
    <dgm:cxn modelId="{EDAC1E43-4BF8-964C-82A8-8D8ABF48C60E}" type="presOf" srcId="{8DA091BA-29BB-D947-9A73-98CCA306592D}" destId="{8C914C58-19CC-B241-9B0D-D8A81E457DE5}" srcOrd="1" destOrd="0" presId="urn:microsoft.com/office/officeart/2005/8/layout/radial5"/>
    <dgm:cxn modelId="{0C847348-0932-654A-B86B-A592FDFA5EEF}" type="presOf" srcId="{4DD30457-1268-2C44-9210-0ADA9E5EAFA4}" destId="{0E2CD0A3-0A85-B849-99D9-8887711D97A9}" srcOrd="1" destOrd="0" presId="urn:microsoft.com/office/officeart/2005/8/layout/radial5"/>
    <dgm:cxn modelId="{3B9A0749-5305-C348-A7AE-9DD846947E70}" type="presOf" srcId="{3B653DEE-DC33-7047-A1C1-202FA9BFDEED}" destId="{C24F78D4-2786-F040-8089-ACC0E2328E7B}" srcOrd="0" destOrd="0" presId="urn:microsoft.com/office/officeart/2005/8/layout/radial5"/>
    <dgm:cxn modelId="{35F7CB4D-0634-6C4B-BCA3-B440488E7475}" type="presOf" srcId="{3F59D324-358C-7144-A90A-7428EF7F89CC}" destId="{D4C00EDE-0D15-8C4A-936E-DD658B3F8E54}" srcOrd="0" destOrd="0" presId="urn:microsoft.com/office/officeart/2005/8/layout/radial5"/>
    <dgm:cxn modelId="{2E05C96F-9A40-2F49-A19E-AD0F94C206D9}" type="presOf" srcId="{C0C87730-B896-B842-9FA5-BFAD68106181}" destId="{03360991-8C39-9B4D-903C-A22915E44C04}" srcOrd="0" destOrd="0" presId="urn:microsoft.com/office/officeart/2005/8/layout/radial5"/>
    <dgm:cxn modelId="{4AB43C51-B1C6-6446-91FF-5CB16B326D88}" type="presOf" srcId="{FEEAC2F4-A88A-DA49-A16B-A56452AE78EB}" destId="{1BE531F0-C9D4-AC4D-AB76-75B0F92963B0}" srcOrd="0" destOrd="0" presId="urn:microsoft.com/office/officeart/2005/8/layout/radial5"/>
    <dgm:cxn modelId="{05E85B75-B0E4-7947-AC76-624B9CAD02A7}" srcId="{89EC19FD-0A41-FE4A-9993-073EE398BEE4}" destId="{FEEAC2F4-A88A-DA49-A16B-A56452AE78EB}" srcOrd="4" destOrd="0" parTransId="{D0B687CC-8DA1-294D-85BA-8DDCFB70A330}" sibTransId="{463A348C-50A7-E44A-BE4B-E9DFC013A1A8}"/>
    <dgm:cxn modelId="{7009A675-B33F-9043-8ACF-12D07F33C92D}" srcId="{89EC19FD-0A41-FE4A-9993-073EE398BEE4}" destId="{3F59D324-358C-7144-A90A-7428EF7F89CC}" srcOrd="7" destOrd="0" parTransId="{8DA091BA-29BB-D947-9A73-98CCA306592D}" sibTransId="{A465F6AA-9AC7-A842-A9F8-141F4C0ADF86}"/>
    <dgm:cxn modelId="{6003B48B-A4FF-0648-9B70-2B9F33A1524C}" type="presOf" srcId="{4DD30457-1268-2C44-9210-0ADA9E5EAFA4}" destId="{B18D55F1-8146-7445-ACDD-05FEBAEAE716}" srcOrd="0" destOrd="0" presId="urn:microsoft.com/office/officeart/2005/8/layout/radial5"/>
    <dgm:cxn modelId="{F4427990-6B23-8E4F-A0AF-40E3CBEC5A2A}" type="presOf" srcId="{A9F9BF23-97F4-E245-89F8-AA7C4E6B7B43}" destId="{4B59F5A5-AB2C-2042-BC1B-3C55C0B54D20}" srcOrd="0" destOrd="0" presId="urn:microsoft.com/office/officeart/2005/8/layout/radial5"/>
    <dgm:cxn modelId="{DFA3B992-94C9-1D48-B75F-BEEEEC451F85}" type="presOf" srcId="{C24BBD57-3D68-654B-BAEE-1C5930772CC4}" destId="{7903B380-501E-B64E-99C4-96B018A621ED}" srcOrd="1" destOrd="0" presId="urn:microsoft.com/office/officeart/2005/8/layout/radial5"/>
    <dgm:cxn modelId="{2EBCCB95-1CC1-CE44-B8F5-5A74C963F7D5}" type="presOf" srcId="{F51C974D-D17C-614A-9D01-9B896C70D546}" destId="{C14D1248-77E9-A04E-A7EE-4BF59A8D5F78}" srcOrd="0" destOrd="0" presId="urn:microsoft.com/office/officeart/2005/8/layout/radial5"/>
    <dgm:cxn modelId="{8F2BBB9D-822F-3A49-88E3-A735CA0B938D}" srcId="{89EC19FD-0A41-FE4A-9993-073EE398BEE4}" destId="{F51C974D-D17C-614A-9D01-9B896C70D546}" srcOrd="3" destOrd="0" parTransId="{4CDB5392-C86A-334D-B812-A609F113D85E}" sibTransId="{388C0A48-5F4D-8843-B04A-60DF53B1F31C}"/>
    <dgm:cxn modelId="{353AEE9D-5A84-EC4B-A6F7-8C26C75DA2D7}" type="presOf" srcId="{C24BBD57-3D68-654B-BAEE-1C5930772CC4}" destId="{16790C9F-08F8-8C43-965E-E83124B5F10F}" srcOrd="0" destOrd="0" presId="urn:microsoft.com/office/officeart/2005/8/layout/radial5"/>
    <dgm:cxn modelId="{243F8EA5-E630-CC44-9EB6-815060FC2D49}" srcId="{89EC19FD-0A41-FE4A-9993-073EE398BEE4}" destId="{867B87EA-4800-8F45-BA7E-811501854F4B}" srcOrd="0" destOrd="0" parTransId="{B363F7DC-4208-A24D-B4FE-F39BE5D7DFD1}" sibTransId="{6FF3CDA7-8483-EE4F-961E-B1EA5EE9372F}"/>
    <dgm:cxn modelId="{176C69AE-DE04-8747-B432-92A8ED7899C5}" type="presOf" srcId="{B363F7DC-4208-A24D-B4FE-F39BE5D7DFD1}" destId="{46391387-1A40-7A4B-AE63-71CD40D00974}" srcOrd="0" destOrd="0" presId="urn:microsoft.com/office/officeart/2005/8/layout/radial5"/>
    <dgm:cxn modelId="{192F69B2-3114-564B-98FE-3E9F8C149413}" type="presOf" srcId="{A9F9BF23-97F4-E245-89F8-AA7C4E6B7B43}" destId="{9CCFE6A3-FBEC-0D4A-9667-1016C05C1246}" srcOrd="1" destOrd="0" presId="urn:microsoft.com/office/officeart/2005/8/layout/radial5"/>
    <dgm:cxn modelId="{0F45F6BC-5854-F640-9E21-7F2B437BA615}" type="presOf" srcId="{D0B687CC-8DA1-294D-85BA-8DDCFB70A330}" destId="{44C4D112-DC71-7E47-BBF3-81FD84A64F39}" srcOrd="0" destOrd="0" presId="urn:microsoft.com/office/officeart/2005/8/layout/radial5"/>
    <dgm:cxn modelId="{CBA15EBE-6752-AA4A-95BA-5D1F907B1E00}" srcId="{89EC19FD-0A41-FE4A-9993-073EE398BEE4}" destId="{3B653DEE-DC33-7047-A1C1-202FA9BFDEED}" srcOrd="5" destOrd="0" parTransId="{C24BBD57-3D68-654B-BAEE-1C5930772CC4}" sibTransId="{0A4B9356-F362-1D44-9EA3-6789E23315CA}"/>
    <dgm:cxn modelId="{B87884C0-2A0F-A34E-950E-4F73EA89232F}" type="presOf" srcId="{35ACED03-6883-0F46-9ADF-94D8B859140F}" destId="{7461601C-58B5-DB44-A745-85B0DCA9602B}" srcOrd="0" destOrd="0" presId="urn:microsoft.com/office/officeart/2005/8/layout/radial5"/>
    <dgm:cxn modelId="{4DE225C4-ECAD-F44C-AB44-E6AF14D8D7F2}" type="presOf" srcId="{B363F7DC-4208-A24D-B4FE-F39BE5D7DFD1}" destId="{F66B3EBD-3B15-3743-9345-5E0E27EAE769}" srcOrd="1" destOrd="0" presId="urn:microsoft.com/office/officeart/2005/8/layout/radial5"/>
    <dgm:cxn modelId="{46AF85C5-075A-B940-AA4D-42C3F419B938}" type="presOf" srcId="{4CDB5392-C86A-334D-B812-A609F113D85E}" destId="{4C56698B-A1F0-6C46-8BB4-BF71EC921730}" srcOrd="1" destOrd="0" presId="urn:microsoft.com/office/officeart/2005/8/layout/radial5"/>
    <dgm:cxn modelId="{4AF51EC8-5CD0-CC44-8AF8-2253FE0C2E14}" type="presOf" srcId="{8DA091BA-29BB-D947-9A73-98CCA306592D}" destId="{73532FC8-878F-CB4D-891F-A0DFBF6FF0CB}" srcOrd="0" destOrd="0" presId="urn:microsoft.com/office/officeart/2005/8/layout/radial5"/>
    <dgm:cxn modelId="{CF62A7CB-6962-484B-830A-199B134FC1BB}" type="presOf" srcId="{89EC19FD-0A41-FE4A-9993-073EE398BEE4}" destId="{9DC7E1CF-190A-B34D-89CB-D3B12D42E84E}" srcOrd="0" destOrd="0" presId="urn:microsoft.com/office/officeart/2005/8/layout/radial5"/>
    <dgm:cxn modelId="{950AC4FD-4DDE-824A-BFE4-D75828EA2D8F}" type="presOf" srcId="{05B76D89-2D28-8141-943F-8C6F6E44D203}" destId="{EAE578A1-C8B4-0C4D-827B-780DB60DA326}" srcOrd="0" destOrd="0" presId="urn:microsoft.com/office/officeart/2005/8/layout/radial5"/>
    <dgm:cxn modelId="{1B8EFEFE-BD29-9C47-9BE0-1F434F632EE4}" type="presOf" srcId="{D0B687CC-8DA1-294D-85BA-8DDCFB70A330}" destId="{C7C07BC6-3EB9-CA4C-96BE-245FFB7992C8}" srcOrd="1" destOrd="0" presId="urn:microsoft.com/office/officeart/2005/8/layout/radial5"/>
    <dgm:cxn modelId="{C845AB28-8040-5443-968B-A4C802BDE13E}" type="presParOf" srcId="{9F827091-C8B1-154C-931A-669C8F09D56A}" destId="{9DC7E1CF-190A-B34D-89CB-D3B12D42E84E}" srcOrd="0" destOrd="0" presId="urn:microsoft.com/office/officeart/2005/8/layout/radial5"/>
    <dgm:cxn modelId="{177A3631-6DB7-E34A-9549-6344FC9C5E0F}" type="presParOf" srcId="{9F827091-C8B1-154C-931A-669C8F09D56A}" destId="{46391387-1A40-7A4B-AE63-71CD40D00974}" srcOrd="1" destOrd="0" presId="urn:microsoft.com/office/officeart/2005/8/layout/radial5"/>
    <dgm:cxn modelId="{EA6E609D-01C4-FA41-B70B-8C4320DB3BB5}" type="presParOf" srcId="{46391387-1A40-7A4B-AE63-71CD40D00974}" destId="{F66B3EBD-3B15-3743-9345-5E0E27EAE769}" srcOrd="0" destOrd="0" presId="urn:microsoft.com/office/officeart/2005/8/layout/radial5"/>
    <dgm:cxn modelId="{D3A07A34-AB64-EF4E-9439-5FCB41CDD7AB}" type="presParOf" srcId="{9F827091-C8B1-154C-931A-669C8F09D56A}" destId="{48474C95-46BE-F147-ADA2-628860503E05}" srcOrd="2" destOrd="0" presId="urn:microsoft.com/office/officeart/2005/8/layout/radial5"/>
    <dgm:cxn modelId="{96EC2818-A657-4A49-8D70-D3C8546011BC}" type="presParOf" srcId="{9F827091-C8B1-154C-931A-669C8F09D56A}" destId="{03360991-8C39-9B4D-903C-A22915E44C04}" srcOrd="3" destOrd="0" presId="urn:microsoft.com/office/officeart/2005/8/layout/radial5"/>
    <dgm:cxn modelId="{6AFC7F09-BA31-3142-92D4-2BC6EC48327D}" type="presParOf" srcId="{03360991-8C39-9B4D-903C-A22915E44C04}" destId="{786561D8-7936-7B46-80D1-9285D3A07AF7}" srcOrd="0" destOrd="0" presId="urn:microsoft.com/office/officeart/2005/8/layout/radial5"/>
    <dgm:cxn modelId="{FA8B6B44-878A-164A-849B-245435ED8E8F}" type="presParOf" srcId="{9F827091-C8B1-154C-931A-669C8F09D56A}" destId="{EAE578A1-C8B4-0C4D-827B-780DB60DA326}" srcOrd="4" destOrd="0" presId="urn:microsoft.com/office/officeart/2005/8/layout/radial5"/>
    <dgm:cxn modelId="{41ADF8CC-AD28-F94A-AEA1-1ED94566E379}" type="presParOf" srcId="{9F827091-C8B1-154C-931A-669C8F09D56A}" destId="{4B59F5A5-AB2C-2042-BC1B-3C55C0B54D20}" srcOrd="5" destOrd="0" presId="urn:microsoft.com/office/officeart/2005/8/layout/radial5"/>
    <dgm:cxn modelId="{696556C8-EF7E-4A46-82D7-656B7A35FC8B}" type="presParOf" srcId="{4B59F5A5-AB2C-2042-BC1B-3C55C0B54D20}" destId="{9CCFE6A3-FBEC-0D4A-9667-1016C05C1246}" srcOrd="0" destOrd="0" presId="urn:microsoft.com/office/officeart/2005/8/layout/radial5"/>
    <dgm:cxn modelId="{89A6F47E-0E21-A94C-B8BC-C201193E4547}" type="presParOf" srcId="{9F827091-C8B1-154C-931A-669C8F09D56A}" destId="{7461601C-58B5-DB44-A745-85B0DCA9602B}" srcOrd="6" destOrd="0" presId="urn:microsoft.com/office/officeart/2005/8/layout/radial5"/>
    <dgm:cxn modelId="{0C3F6CCD-A3F7-1544-9658-E2C09605C6A0}" type="presParOf" srcId="{9F827091-C8B1-154C-931A-669C8F09D56A}" destId="{744211B3-5E3B-C64D-B86E-FE5FE34A3689}" srcOrd="7" destOrd="0" presId="urn:microsoft.com/office/officeart/2005/8/layout/radial5"/>
    <dgm:cxn modelId="{B92B513E-1CB8-FE44-BAE1-BB41B91FC080}" type="presParOf" srcId="{744211B3-5E3B-C64D-B86E-FE5FE34A3689}" destId="{4C56698B-A1F0-6C46-8BB4-BF71EC921730}" srcOrd="0" destOrd="0" presId="urn:microsoft.com/office/officeart/2005/8/layout/radial5"/>
    <dgm:cxn modelId="{C849DCD4-C829-A245-B2A4-9C98F62D611B}" type="presParOf" srcId="{9F827091-C8B1-154C-931A-669C8F09D56A}" destId="{C14D1248-77E9-A04E-A7EE-4BF59A8D5F78}" srcOrd="8" destOrd="0" presId="urn:microsoft.com/office/officeart/2005/8/layout/radial5"/>
    <dgm:cxn modelId="{FD969C1B-F18B-F44F-84E1-E16D31B384C0}" type="presParOf" srcId="{9F827091-C8B1-154C-931A-669C8F09D56A}" destId="{44C4D112-DC71-7E47-BBF3-81FD84A64F39}" srcOrd="9" destOrd="0" presId="urn:microsoft.com/office/officeart/2005/8/layout/radial5"/>
    <dgm:cxn modelId="{6A45DEDD-4201-0340-B5CA-EB8DEDE7D8BE}" type="presParOf" srcId="{44C4D112-DC71-7E47-BBF3-81FD84A64F39}" destId="{C7C07BC6-3EB9-CA4C-96BE-245FFB7992C8}" srcOrd="0" destOrd="0" presId="urn:microsoft.com/office/officeart/2005/8/layout/radial5"/>
    <dgm:cxn modelId="{92E10658-15F0-1D46-B722-1BE5F484C6F0}" type="presParOf" srcId="{9F827091-C8B1-154C-931A-669C8F09D56A}" destId="{1BE531F0-C9D4-AC4D-AB76-75B0F92963B0}" srcOrd="10" destOrd="0" presId="urn:microsoft.com/office/officeart/2005/8/layout/radial5"/>
    <dgm:cxn modelId="{E76C926C-F47C-8346-9A18-56DD4BA9535E}" type="presParOf" srcId="{9F827091-C8B1-154C-931A-669C8F09D56A}" destId="{16790C9F-08F8-8C43-965E-E83124B5F10F}" srcOrd="11" destOrd="0" presId="urn:microsoft.com/office/officeart/2005/8/layout/radial5"/>
    <dgm:cxn modelId="{C23CCD14-77DE-AA41-8B5A-1F92B690F8BD}" type="presParOf" srcId="{16790C9F-08F8-8C43-965E-E83124B5F10F}" destId="{7903B380-501E-B64E-99C4-96B018A621ED}" srcOrd="0" destOrd="0" presId="urn:microsoft.com/office/officeart/2005/8/layout/radial5"/>
    <dgm:cxn modelId="{8354BF7F-727A-5E49-8AE8-C0BCC12B5ED9}" type="presParOf" srcId="{9F827091-C8B1-154C-931A-669C8F09D56A}" destId="{C24F78D4-2786-F040-8089-ACC0E2328E7B}" srcOrd="12" destOrd="0" presId="urn:microsoft.com/office/officeart/2005/8/layout/radial5"/>
    <dgm:cxn modelId="{CF8323D3-1CB6-9540-893D-89F040AA48B1}" type="presParOf" srcId="{9F827091-C8B1-154C-931A-669C8F09D56A}" destId="{B18D55F1-8146-7445-ACDD-05FEBAEAE716}" srcOrd="13" destOrd="0" presId="urn:microsoft.com/office/officeart/2005/8/layout/radial5"/>
    <dgm:cxn modelId="{7E817C84-4F8C-C047-AE1E-15B03BE34C72}" type="presParOf" srcId="{B18D55F1-8146-7445-ACDD-05FEBAEAE716}" destId="{0E2CD0A3-0A85-B849-99D9-8887711D97A9}" srcOrd="0" destOrd="0" presId="urn:microsoft.com/office/officeart/2005/8/layout/radial5"/>
    <dgm:cxn modelId="{1D5FDB0B-7EA8-4E49-959E-E15254EFA8A7}" type="presParOf" srcId="{9F827091-C8B1-154C-931A-669C8F09D56A}" destId="{AF7AB481-2278-EF4B-B6E6-1EDFFCDE0A4F}" srcOrd="14" destOrd="0" presId="urn:microsoft.com/office/officeart/2005/8/layout/radial5"/>
    <dgm:cxn modelId="{AE19A948-AB90-524E-9098-7AEF93225F12}" type="presParOf" srcId="{9F827091-C8B1-154C-931A-669C8F09D56A}" destId="{73532FC8-878F-CB4D-891F-A0DFBF6FF0CB}" srcOrd="15" destOrd="0" presId="urn:microsoft.com/office/officeart/2005/8/layout/radial5"/>
    <dgm:cxn modelId="{B15F7E49-511C-BD4F-AFD4-AC3224822979}" type="presParOf" srcId="{73532FC8-878F-CB4D-891F-A0DFBF6FF0CB}" destId="{8C914C58-19CC-B241-9B0D-D8A81E457DE5}" srcOrd="0" destOrd="0" presId="urn:microsoft.com/office/officeart/2005/8/layout/radial5"/>
    <dgm:cxn modelId="{165A78C9-43C8-A543-B1A0-C672578C9807}" type="presParOf" srcId="{9F827091-C8B1-154C-931A-669C8F09D56A}" destId="{D4C00EDE-0D15-8C4A-936E-DD658B3F8E54}" srcOrd="16" destOrd="0" presId="urn:microsoft.com/office/officeart/2005/8/layout/radial5"/>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59EBF04-2F79-D542-974A-7F1CD59E8A8E}">
      <dsp:nvSpPr>
        <dsp:cNvPr id="0" name=""/>
        <dsp:cNvSpPr/>
      </dsp:nvSpPr>
      <dsp:spPr>
        <a:xfrm>
          <a:off x="2400936" y="1124375"/>
          <a:ext cx="1298304" cy="519316"/>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t>Human Assets Index (HAI) - 60.8</a:t>
          </a:r>
        </a:p>
      </dsp:txBody>
      <dsp:txXfrm>
        <a:off x="2591068" y="1200427"/>
        <a:ext cx="918040" cy="367212"/>
      </dsp:txXfrm>
    </dsp:sp>
    <dsp:sp modelId="{36C172D4-036F-9B40-AC5A-FD4BA0A8712D}">
      <dsp:nvSpPr>
        <dsp:cNvPr id="0" name=""/>
        <dsp:cNvSpPr/>
      </dsp:nvSpPr>
      <dsp:spPr>
        <a:xfrm rot="16175430">
          <a:off x="2996255" y="908785"/>
          <a:ext cx="102611" cy="243386"/>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rot="10800000">
        <a:off x="3011757" y="972853"/>
        <a:ext cx="71828" cy="146032"/>
      </dsp:txXfrm>
    </dsp:sp>
    <dsp:sp modelId="{A5A7A021-2325-AA4A-9679-5AF226CDC69F}">
      <dsp:nvSpPr>
        <dsp:cNvPr id="0" name=""/>
        <dsp:cNvSpPr/>
      </dsp:nvSpPr>
      <dsp:spPr>
        <a:xfrm>
          <a:off x="2192770" y="123233"/>
          <a:ext cx="1702384" cy="807543"/>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Under-five mortality rate </a:t>
          </a:r>
        </a:p>
        <a:p>
          <a:pPr marL="0" lvl="0" indent="0" algn="ctr" defTabSz="355600">
            <a:lnSpc>
              <a:spcPct val="90000"/>
            </a:lnSpc>
            <a:spcBef>
              <a:spcPct val="0"/>
            </a:spcBef>
            <a:spcAft>
              <a:spcPct val="35000"/>
            </a:spcAft>
            <a:buNone/>
          </a:pPr>
          <a:r>
            <a:rPr lang="en-GB" sz="800" kern="1200"/>
            <a:t>Value: 71.4 </a:t>
          </a:r>
        </a:p>
        <a:p>
          <a:pPr marL="0" lvl="0" indent="0" algn="ctr" defTabSz="355600">
            <a:lnSpc>
              <a:spcPct val="90000"/>
            </a:lnSpc>
            <a:spcBef>
              <a:spcPct val="0"/>
            </a:spcBef>
            <a:spcAft>
              <a:spcPct val="35000"/>
            </a:spcAft>
            <a:buNone/>
          </a:pPr>
          <a:r>
            <a:rPr lang="en-GB" sz="800" kern="1200"/>
            <a:t>Index: 62.8</a:t>
          </a:r>
        </a:p>
        <a:p>
          <a:pPr marL="0" lvl="0" indent="0" algn="ctr" defTabSz="355600">
            <a:lnSpc>
              <a:spcPct val="90000"/>
            </a:lnSpc>
            <a:spcBef>
              <a:spcPct val="0"/>
            </a:spcBef>
            <a:spcAft>
              <a:spcPct val="35000"/>
            </a:spcAft>
            <a:buNone/>
          </a:pPr>
          <a:r>
            <a:rPr lang="en-GB" sz="800" kern="1200"/>
            <a:t>(Source: UN IAG for Child Mortality Estimation </a:t>
          </a:r>
        </a:p>
      </dsp:txBody>
      <dsp:txXfrm>
        <a:off x="2442078" y="241495"/>
        <a:ext cx="1203768" cy="571019"/>
      </dsp:txXfrm>
    </dsp:sp>
    <dsp:sp modelId="{8719426E-0F21-024F-AAAC-8EB5871A44DA}">
      <dsp:nvSpPr>
        <dsp:cNvPr id="0" name=""/>
        <dsp:cNvSpPr/>
      </dsp:nvSpPr>
      <dsp:spPr>
        <a:xfrm rot="21545784">
          <a:off x="3782113" y="1249210"/>
          <a:ext cx="200918" cy="243386"/>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a:off x="3782117" y="1298362"/>
        <a:ext cx="140643" cy="146032"/>
      </dsp:txXfrm>
    </dsp:sp>
    <dsp:sp modelId="{A152259A-A938-D14E-8262-6CF6D2D82724}">
      <dsp:nvSpPr>
        <dsp:cNvPr id="0" name=""/>
        <dsp:cNvSpPr/>
      </dsp:nvSpPr>
      <dsp:spPr>
        <a:xfrm>
          <a:off x="4077336" y="895772"/>
          <a:ext cx="1817176" cy="915456"/>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Gross secondary school enrollment ration </a:t>
          </a:r>
        </a:p>
        <a:p>
          <a:pPr marL="0" lvl="0" indent="0" algn="ctr" defTabSz="355600">
            <a:lnSpc>
              <a:spcPct val="90000"/>
            </a:lnSpc>
            <a:spcBef>
              <a:spcPct val="0"/>
            </a:spcBef>
            <a:spcAft>
              <a:spcPct val="35000"/>
            </a:spcAft>
            <a:buNone/>
          </a:pPr>
          <a:r>
            <a:rPr lang="en-GB" sz="800" kern="1200"/>
            <a:t>Value: 50.5 </a:t>
          </a:r>
        </a:p>
        <a:p>
          <a:pPr marL="0" lvl="0" indent="0" algn="ctr" defTabSz="355600">
            <a:lnSpc>
              <a:spcPct val="90000"/>
            </a:lnSpc>
            <a:spcBef>
              <a:spcPct val="0"/>
            </a:spcBef>
            <a:spcAft>
              <a:spcPct val="35000"/>
            </a:spcAft>
            <a:buNone/>
          </a:pPr>
          <a:r>
            <a:rPr lang="en-GB" sz="800" kern="1200"/>
            <a:t>Index: 45.0 </a:t>
          </a:r>
        </a:p>
        <a:p>
          <a:pPr marL="0" lvl="0" indent="0" algn="ctr" defTabSz="355600">
            <a:lnSpc>
              <a:spcPct val="90000"/>
            </a:lnSpc>
            <a:spcBef>
              <a:spcPct val="0"/>
            </a:spcBef>
            <a:spcAft>
              <a:spcPct val="35000"/>
            </a:spcAft>
            <a:buNone/>
          </a:pPr>
          <a:r>
            <a:rPr lang="en-GB" sz="800" kern="1200"/>
            <a:t>(Source: UNESCO) </a:t>
          </a:r>
        </a:p>
      </dsp:txBody>
      <dsp:txXfrm>
        <a:off x="4343455" y="1029837"/>
        <a:ext cx="1284938" cy="647326"/>
      </dsp:txXfrm>
    </dsp:sp>
    <dsp:sp modelId="{6FD7EF6C-D719-CE42-AAB4-6FCC26CF3B09}">
      <dsp:nvSpPr>
        <dsp:cNvPr id="0" name=""/>
        <dsp:cNvSpPr/>
      </dsp:nvSpPr>
      <dsp:spPr>
        <a:xfrm rot="5475816">
          <a:off x="2967150" y="1657782"/>
          <a:ext cx="148429" cy="243386"/>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rot="10800000">
        <a:off x="2989905" y="1684200"/>
        <a:ext cx="103900" cy="146032"/>
      </dsp:txXfrm>
    </dsp:sp>
    <dsp:sp modelId="{5C66A9F4-6256-B244-82F2-FD74CCA5CDDE}">
      <dsp:nvSpPr>
        <dsp:cNvPr id="0" name=""/>
        <dsp:cNvSpPr/>
      </dsp:nvSpPr>
      <dsp:spPr>
        <a:xfrm>
          <a:off x="2047598" y="1923658"/>
          <a:ext cx="1965299" cy="719709"/>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Percentage of population undernourished </a:t>
          </a:r>
        </a:p>
        <a:p>
          <a:pPr marL="0" lvl="0" indent="0" algn="ctr" defTabSz="355600">
            <a:lnSpc>
              <a:spcPct val="90000"/>
            </a:lnSpc>
            <a:spcBef>
              <a:spcPct val="0"/>
            </a:spcBef>
            <a:spcAft>
              <a:spcPct val="35000"/>
            </a:spcAft>
            <a:buNone/>
          </a:pPr>
          <a:r>
            <a:rPr lang="en-GB" sz="800" kern="1200"/>
            <a:t>Value: 21.8 </a:t>
          </a:r>
        </a:p>
        <a:p>
          <a:pPr marL="0" lvl="0" indent="0" algn="ctr" defTabSz="355600">
            <a:lnSpc>
              <a:spcPct val="90000"/>
            </a:lnSpc>
            <a:spcBef>
              <a:spcPct val="0"/>
            </a:spcBef>
            <a:spcAft>
              <a:spcPct val="35000"/>
            </a:spcAft>
            <a:buNone/>
          </a:pPr>
          <a:r>
            <a:rPr lang="en-GB" sz="800" kern="1200"/>
            <a:t>Index: 72.0</a:t>
          </a:r>
        </a:p>
        <a:p>
          <a:pPr marL="0" lvl="0" indent="0" algn="ctr" defTabSz="355600">
            <a:lnSpc>
              <a:spcPct val="90000"/>
            </a:lnSpc>
            <a:spcBef>
              <a:spcPct val="0"/>
            </a:spcBef>
            <a:spcAft>
              <a:spcPct val="35000"/>
            </a:spcAft>
            <a:buNone/>
          </a:pPr>
          <a:r>
            <a:rPr lang="en-GB" sz="800" kern="1200"/>
            <a:t>(Source: FAO) </a:t>
          </a:r>
        </a:p>
      </dsp:txBody>
      <dsp:txXfrm>
        <a:off x="2335409" y="2029057"/>
        <a:ext cx="1389677" cy="508911"/>
      </dsp:txXfrm>
    </dsp:sp>
    <dsp:sp modelId="{5D9353EC-E35C-8D42-9A9E-46BE2BA1DD4E}">
      <dsp:nvSpPr>
        <dsp:cNvPr id="0" name=""/>
        <dsp:cNvSpPr/>
      </dsp:nvSpPr>
      <dsp:spPr>
        <a:xfrm rot="10828890">
          <a:off x="2083116" y="1255157"/>
          <a:ext cx="224698" cy="243386"/>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rot="10800000">
        <a:off x="2150524" y="1304117"/>
        <a:ext cx="157289" cy="146032"/>
      </dsp:txXfrm>
    </dsp:sp>
    <dsp:sp modelId="{0834DFE7-B009-274A-A43A-F5BAE103BA62}">
      <dsp:nvSpPr>
        <dsp:cNvPr id="0" name=""/>
        <dsp:cNvSpPr/>
      </dsp:nvSpPr>
      <dsp:spPr>
        <a:xfrm>
          <a:off x="305434" y="1010070"/>
          <a:ext cx="1671860" cy="715843"/>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Adult literacy rate </a:t>
          </a:r>
        </a:p>
        <a:p>
          <a:pPr marL="0" lvl="0" indent="0" algn="ctr" defTabSz="355600">
            <a:lnSpc>
              <a:spcPct val="90000"/>
            </a:lnSpc>
            <a:spcBef>
              <a:spcPct val="0"/>
            </a:spcBef>
            <a:spcAft>
              <a:spcPct val="35000"/>
            </a:spcAft>
            <a:buNone/>
          </a:pPr>
          <a:r>
            <a:rPr lang="en-GB" sz="800" kern="1200"/>
            <a:t>Value: 72.7 </a:t>
          </a:r>
        </a:p>
        <a:p>
          <a:pPr marL="0" lvl="0" indent="0" algn="ctr" defTabSz="355600">
            <a:lnSpc>
              <a:spcPct val="90000"/>
            </a:lnSpc>
            <a:spcBef>
              <a:spcPct val="0"/>
            </a:spcBef>
            <a:spcAft>
              <a:spcPct val="35000"/>
            </a:spcAft>
            <a:buNone/>
          </a:pPr>
          <a:r>
            <a:rPr lang="en-GB" sz="800" kern="1200"/>
            <a:t>Index: 63.6 </a:t>
          </a:r>
        </a:p>
        <a:p>
          <a:pPr marL="0" lvl="0" indent="0" algn="ctr" defTabSz="355600">
            <a:lnSpc>
              <a:spcPct val="90000"/>
            </a:lnSpc>
            <a:spcBef>
              <a:spcPct val="0"/>
            </a:spcBef>
            <a:spcAft>
              <a:spcPct val="35000"/>
            </a:spcAft>
            <a:buNone/>
          </a:pPr>
          <a:r>
            <a:rPr lang="en-GB" sz="800" kern="1200"/>
            <a:t>(Source: UNESCO) </a:t>
          </a:r>
        </a:p>
      </dsp:txBody>
      <dsp:txXfrm>
        <a:off x="550272" y="1114903"/>
        <a:ext cx="1182184" cy="50617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DC7E1CF-190A-B34D-89CB-D3B12D42E84E}">
      <dsp:nvSpPr>
        <dsp:cNvPr id="0" name=""/>
        <dsp:cNvSpPr/>
      </dsp:nvSpPr>
      <dsp:spPr>
        <a:xfrm>
          <a:off x="2642201" y="1654269"/>
          <a:ext cx="1186400" cy="933468"/>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t>Economic vulnerability Index (EVI) </a:t>
          </a:r>
        </a:p>
        <a:p>
          <a:pPr marL="0" lvl="0" indent="0" algn="ctr" defTabSz="533400">
            <a:lnSpc>
              <a:spcPct val="90000"/>
            </a:lnSpc>
            <a:spcBef>
              <a:spcPct val="0"/>
            </a:spcBef>
            <a:spcAft>
              <a:spcPct val="35000"/>
            </a:spcAft>
            <a:buNone/>
          </a:pPr>
          <a:r>
            <a:rPr lang="en-GB" sz="1200" b="1" kern="1200"/>
            <a:t>36.2</a:t>
          </a:r>
        </a:p>
      </dsp:txBody>
      <dsp:txXfrm>
        <a:off x="2815945" y="1790972"/>
        <a:ext cx="838912" cy="660062"/>
      </dsp:txXfrm>
    </dsp:sp>
    <dsp:sp modelId="{46391387-1A40-7A4B-AE63-71CD40D00974}">
      <dsp:nvSpPr>
        <dsp:cNvPr id="0" name=""/>
        <dsp:cNvSpPr/>
      </dsp:nvSpPr>
      <dsp:spPr>
        <a:xfrm rot="16216294">
          <a:off x="3096118" y="1212900"/>
          <a:ext cx="285467" cy="360290"/>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a:off x="3138735" y="1327778"/>
        <a:ext cx="199827" cy="216174"/>
      </dsp:txXfrm>
    </dsp:sp>
    <dsp:sp modelId="{48474C95-46BE-F147-ADA2-628860503E05}">
      <dsp:nvSpPr>
        <dsp:cNvPr id="0" name=""/>
        <dsp:cNvSpPr/>
      </dsp:nvSpPr>
      <dsp:spPr>
        <a:xfrm>
          <a:off x="2610748" y="125323"/>
          <a:ext cx="1263531" cy="990341"/>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Population </a:t>
          </a:r>
        </a:p>
        <a:p>
          <a:pPr marL="0" lvl="0" indent="0" algn="ctr" defTabSz="355600">
            <a:lnSpc>
              <a:spcPct val="90000"/>
            </a:lnSpc>
            <a:spcBef>
              <a:spcPct val="0"/>
            </a:spcBef>
            <a:spcAft>
              <a:spcPct val="35000"/>
            </a:spcAft>
            <a:buNone/>
          </a:pPr>
          <a:r>
            <a:rPr lang="en-GB" sz="800" kern="1200"/>
            <a:t>Value: 6,769,727</a:t>
          </a:r>
        </a:p>
        <a:p>
          <a:pPr marL="0" lvl="0" indent="0" algn="ctr" defTabSz="355600">
            <a:lnSpc>
              <a:spcPct val="90000"/>
            </a:lnSpc>
            <a:spcBef>
              <a:spcPct val="0"/>
            </a:spcBef>
            <a:spcAft>
              <a:spcPct val="35000"/>
            </a:spcAft>
            <a:buNone/>
          </a:pPr>
          <a:r>
            <a:rPr lang="en-GB" sz="800" kern="1200"/>
            <a:t>Index: 41.4</a:t>
          </a:r>
        </a:p>
        <a:p>
          <a:pPr marL="0" lvl="0" indent="0" algn="ctr" defTabSz="355600">
            <a:lnSpc>
              <a:spcPct val="90000"/>
            </a:lnSpc>
            <a:spcBef>
              <a:spcPct val="0"/>
            </a:spcBef>
            <a:spcAft>
              <a:spcPct val="35000"/>
            </a:spcAft>
            <a:buNone/>
          </a:pPr>
          <a:r>
            <a:rPr lang="en-GB" sz="800" kern="1200"/>
            <a:t>(Source: UN/DESA, Population Division) </a:t>
          </a:r>
        </a:p>
      </dsp:txBody>
      <dsp:txXfrm>
        <a:off x="2795788" y="270355"/>
        <a:ext cx="893451" cy="700277"/>
      </dsp:txXfrm>
    </dsp:sp>
    <dsp:sp modelId="{03360991-8C39-9B4D-903C-A22915E44C04}">
      <dsp:nvSpPr>
        <dsp:cNvPr id="0" name=""/>
        <dsp:cNvSpPr/>
      </dsp:nvSpPr>
      <dsp:spPr>
        <a:xfrm rot="18900000">
          <a:off x="3650732" y="1360556"/>
          <a:ext cx="329940" cy="360290"/>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a:off x="3665228" y="1467609"/>
        <a:ext cx="230958" cy="216174"/>
      </dsp:txXfrm>
    </dsp:sp>
    <dsp:sp modelId="{EAE578A1-C8B4-0C4D-827B-780DB60DA326}">
      <dsp:nvSpPr>
        <dsp:cNvPr id="0" name=""/>
        <dsp:cNvSpPr/>
      </dsp:nvSpPr>
      <dsp:spPr>
        <a:xfrm>
          <a:off x="3832934" y="541803"/>
          <a:ext cx="1098463" cy="864871"/>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Remoteness </a:t>
          </a:r>
        </a:p>
        <a:p>
          <a:pPr marL="0" lvl="0" indent="0" algn="ctr" defTabSz="355600">
            <a:lnSpc>
              <a:spcPct val="90000"/>
            </a:lnSpc>
            <a:spcBef>
              <a:spcPct val="0"/>
            </a:spcBef>
            <a:spcAft>
              <a:spcPct val="35000"/>
            </a:spcAft>
            <a:buNone/>
          </a:pPr>
          <a:r>
            <a:rPr lang="en-GB" sz="800" kern="1200"/>
            <a:t>Value: 57.7</a:t>
          </a:r>
        </a:p>
        <a:p>
          <a:pPr marL="0" lvl="0" indent="0" algn="ctr" defTabSz="355600">
            <a:lnSpc>
              <a:spcPct val="90000"/>
            </a:lnSpc>
            <a:spcBef>
              <a:spcPct val="0"/>
            </a:spcBef>
            <a:spcAft>
              <a:spcPct val="35000"/>
            </a:spcAft>
            <a:buNone/>
          </a:pPr>
          <a:r>
            <a:rPr lang="en-GB" sz="800" kern="1200"/>
            <a:t>Index: 58.8</a:t>
          </a:r>
        </a:p>
        <a:p>
          <a:pPr marL="0" lvl="0" indent="0" algn="ctr" defTabSz="355600">
            <a:lnSpc>
              <a:spcPct val="90000"/>
            </a:lnSpc>
            <a:spcBef>
              <a:spcPct val="0"/>
            </a:spcBef>
            <a:spcAft>
              <a:spcPct val="35000"/>
            </a:spcAft>
            <a:buNone/>
          </a:pPr>
          <a:r>
            <a:rPr lang="en-GB" sz="800" kern="1200"/>
            <a:t>(Source: CDP)</a:t>
          </a:r>
        </a:p>
        <a:p>
          <a:pPr marL="0" lvl="0" indent="0" algn="ctr" defTabSz="355600">
            <a:lnSpc>
              <a:spcPct val="90000"/>
            </a:lnSpc>
            <a:spcBef>
              <a:spcPct val="0"/>
            </a:spcBef>
            <a:spcAft>
              <a:spcPct val="35000"/>
            </a:spcAft>
            <a:buNone/>
          </a:pPr>
          <a:endParaRPr lang="en-GB" sz="800" kern="1200"/>
        </a:p>
      </dsp:txBody>
      <dsp:txXfrm>
        <a:off x="3993800" y="668460"/>
        <a:ext cx="776731" cy="611557"/>
      </dsp:txXfrm>
    </dsp:sp>
    <dsp:sp modelId="{4B59F5A5-AB2C-2042-BC1B-3C55C0B54D20}">
      <dsp:nvSpPr>
        <dsp:cNvPr id="0" name=""/>
        <dsp:cNvSpPr/>
      </dsp:nvSpPr>
      <dsp:spPr>
        <a:xfrm rot="21148600">
          <a:off x="3921230" y="1833935"/>
          <a:ext cx="247564" cy="360290"/>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a:off x="3921550" y="1910855"/>
        <a:ext cx="173295" cy="216174"/>
      </dsp:txXfrm>
    </dsp:sp>
    <dsp:sp modelId="{7461601C-58B5-DB44-A745-85B0DCA9602B}">
      <dsp:nvSpPr>
        <dsp:cNvPr id="0" name=""/>
        <dsp:cNvSpPr/>
      </dsp:nvSpPr>
      <dsp:spPr>
        <a:xfrm>
          <a:off x="4278538" y="1349567"/>
          <a:ext cx="1129697" cy="1118148"/>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Merchandise export concentration </a:t>
          </a:r>
        </a:p>
        <a:p>
          <a:pPr marL="0" lvl="0" indent="0" algn="ctr" defTabSz="355600">
            <a:lnSpc>
              <a:spcPct val="90000"/>
            </a:lnSpc>
            <a:spcBef>
              <a:spcPct val="0"/>
            </a:spcBef>
            <a:spcAft>
              <a:spcPct val="35000"/>
            </a:spcAft>
            <a:buNone/>
          </a:pPr>
          <a:r>
            <a:rPr lang="en-GB" sz="800" kern="1200"/>
            <a:t>Value: 0.29</a:t>
          </a:r>
        </a:p>
        <a:p>
          <a:pPr marL="0" lvl="0" indent="0" algn="ctr" defTabSz="355600">
            <a:lnSpc>
              <a:spcPct val="90000"/>
            </a:lnSpc>
            <a:spcBef>
              <a:spcPct val="0"/>
            </a:spcBef>
            <a:spcAft>
              <a:spcPct val="35000"/>
            </a:spcAft>
            <a:buNone/>
          </a:pPr>
          <a:r>
            <a:rPr lang="en-GB" sz="800" kern="1200"/>
            <a:t>Index: 22.4 </a:t>
          </a:r>
        </a:p>
        <a:p>
          <a:pPr marL="0" lvl="0" indent="0" algn="ctr" defTabSz="355600">
            <a:lnSpc>
              <a:spcPct val="90000"/>
            </a:lnSpc>
            <a:spcBef>
              <a:spcPct val="0"/>
            </a:spcBef>
            <a:spcAft>
              <a:spcPct val="35000"/>
            </a:spcAft>
            <a:buNone/>
          </a:pPr>
          <a:r>
            <a:rPr lang="en-GB" sz="800" kern="1200"/>
            <a:t>(Source: UNCTAD) </a:t>
          </a:r>
        </a:p>
      </dsp:txBody>
      <dsp:txXfrm>
        <a:off x="4443978" y="1513316"/>
        <a:ext cx="798817" cy="790650"/>
      </dsp:txXfrm>
    </dsp:sp>
    <dsp:sp modelId="{744211B3-5E3B-C64D-B86E-FE5FE34A3689}">
      <dsp:nvSpPr>
        <dsp:cNvPr id="0" name=""/>
        <dsp:cNvSpPr/>
      </dsp:nvSpPr>
      <dsp:spPr>
        <a:xfrm rot="2562772">
          <a:off x="3667062" y="2464900"/>
          <a:ext cx="271966" cy="360290"/>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a:off x="3677882" y="2509286"/>
        <a:ext cx="190376" cy="216174"/>
      </dsp:txXfrm>
    </dsp:sp>
    <dsp:sp modelId="{C14D1248-77E9-A04E-A7EE-4BF59A8D5F78}">
      <dsp:nvSpPr>
        <dsp:cNvPr id="0" name=""/>
        <dsp:cNvSpPr/>
      </dsp:nvSpPr>
      <dsp:spPr>
        <a:xfrm>
          <a:off x="3858378" y="2582026"/>
          <a:ext cx="1205031" cy="1340677"/>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Share of agriculture, forestry and fishing in GDP </a:t>
          </a:r>
        </a:p>
        <a:p>
          <a:pPr marL="0" lvl="0" indent="0" algn="ctr" defTabSz="355600">
            <a:lnSpc>
              <a:spcPct val="90000"/>
            </a:lnSpc>
            <a:spcBef>
              <a:spcPct val="0"/>
            </a:spcBef>
            <a:spcAft>
              <a:spcPct val="35000"/>
            </a:spcAft>
            <a:buNone/>
          </a:pPr>
          <a:r>
            <a:rPr lang="en-GB" sz="800" kern="1200"/>
            <a:t>Value: 25.7 </a:t>
          </a:r>
        </a:p>
        <a:p>
          <a:pPr marL="0" lvl="0" indent="0" algn="ctr" defTabSz="355600">
            <a:lnSpc>
              <a:spcPct val="90000"/>
            </a:lnSpc>
            <a:spcBef>
              <a:spcPct val="0"/>
            </a:spcBef>
            <a:spcAft>
              <a:spcPct val="35000"/>
            </a:spcAft>
            <a:buNone/>
          </a:pPr>
          <a:r>
            <a:rPr lang="en-GB" sz="800" kern="1200"/>
            <a:t>Index: 41.9 </a:t>
          </a:r>
        </a:p>
        <a:p>
          <a:pPr marL="0" lvl="0" indent="0" algn="ctr" defTabSz="355600">
            <a:lnSpc>
              <a:spcPct val="90000"/>
            </a:lnSpc>
            <a:spcBef>
              <a:spcPct val="0"/>
            </a:spcBef>
            <a:spcAft>
              <a:spcPct val="35000"/>
            </a:spcAft>
            <a:buNone/>
          </a:pPr>
          <a:r>
            <a:rPr lang="en-GB" sz="800" kern="1200"/>
            <a:t>(Source: UN/DESA, Statistics Dvision) </a:t>
          </a:r>
        </a:p>
      </dsp:txBody>
      <dsp:txXfrm>
        <a:off x="4034851" y="2778364"/>
        <a:ext cx="852085" cy="948001"/>
      </dsp:txXfrm>
    </dsp:sp>
    <dsp:sp modelId="{44C4D112-DC71-7E47-BBF3-81FD84A64F39}">
      <dsp:nvSpPr>
        <dsp:cNvPr id="0" name=""/>
        <dsp:cNvSpPr/>
      </dsp:nvSpPr>
      <dsp:spPr>
        <a:xfrm rot="5400000">
          <a:off x="3057061" y="2733988"/>
          <a:ext cx="356680" cy="360290"/>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a:off x="3110563" y="2752544"/>
        <a:ext cx="249676" cy="216174"/>
      </dsp:txXfrm>
    </dsp:sp>
    <dsp:sp modelId="{1BE531F0-C9D4-AC4D-AB76-75B0F92963B0}">
      <dsp:nvSpPr>
        <dsp:cNvPr id="0" name=""/>
        <dsp:cNvSpPr/>
      </dsp:nvSpPr>
      <dsp:spPr>
        <a:xfrm>
          <a:off x="2616325" y="3260720"/>
          <a:ext cx="1238153" cy="964105"/>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Share of population in low elevated coastal zones </a:t>
          </a:r>
        </a:p>
        <a:p>
          <a:pPr marL="0" lvl="0" indent="0" algn="ctr" defTabSz="355600">
            <a:lnSpc>
              <a:spcPct val="90000"/>
            </a:lnSpc>
            <a:spcBef>
              <a:spcPct val="0"/>
            </a:spcBef>
            <a:spcAft>
              <a:spcPct val="35000"/>
            </a:spcAft>
            <a:buNone/>
          </a:pPr>
          <a:r>
            <a:rPr lang="en-GB" sz="800" kern="1200"/>
            <a:t>Value: 0</a:t>
          </a:r>
        </a:p>
        <a:p>
          <a:pPr marL="0" lvl="0" indent="0" algn="ctr" defTabSz="355600">
            <a:lnSpc>
              <a:spcPct val="90000"/>
            </a:lnSpc>
            <a:spcBef>
              <a:spcPct val="0"/>
            </a:spcBef>
            <a:spcAft>
              <a:spcPct val="35000"/>
            </a:spcAft>
            <a:buNone/>
          </a:pPr>
          <a:r>
            <a:rPr lang="en-GB" sz="800" kern="1200"/>
            <a:t>Index: 0</a:t>
          </a:r>
        </a:p>
        <a:p>
          <a:pPr marL="0" lvl="0" indent="0" algn="ctr" defTabSz="355600">
            <a:lnSpc>
              <a:spcPct val="90000"/>
            </a:lnSpc>
            <a:spcBef>
              <a:spcPct val="0"/>
            </a:spcBef>
            <a:spcAft>
              <a:spcPct val="35000"/>
            </a:spcAft>
            <a:buNone/>
          </a:pPr>
          <a:r>
            <a:rPr lang="en-GB" sz="800" kern="1200"/>
            <a:t>(Source: CIESIN) </a:t>
          </a:r>
        </a:p>
      </dsp:txBody>
      <dsp:txXfrm>
        <a:off x="2797648" y="3401910"/>
        <a:ext cx="875507" cy="681725"/>
      </dsp:txXfrm>
    </dsp:sp>
    <dsp:sp modelId="{16790C9F-08F8-8C43-965E-E83124B5F10F}">
      <dsp:nvSpPr>
        <dsp:cNvPr id="0" name=""/>
        <dsp:cNvSpPr/>
      </dsp:nvSpPr>
      <dsp:spPr>
        <a:xfrm rot="8195850">
          <a:off x="2480073" y="2502587"/>
          <a:ext cx="322737" cy="360290"/>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rot="10800000">
        <a:off x="2563656" y="2541381"/>
        <a:ext cx="225916" cy="216174"/>
      </dsp:txXfrm>
    </dsp:sp>
    <dsp:sp modelId="{C24F78D4-2786-F040-8089-ACC0E2328E7B}">
      <dsp:nvSpPr>
        <dsp:cNvPr id="0" name=""/>
        <dsp:cNvSpPr/>
      </dsp:nvSpPr>
      <dsp:spPr>
        <a:xfrm>
          <a:off x="1300415" y="2743799"/>
          <a:ext cx="1325789" cy="1160531"/>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Instability of exports of goods and services </a:t>
          </a:r>
        </a:p>
        <a:p>
          <a:pPr marL="0" lvl="0" indent="0" algn="ctr" defTabSz="355600">
            <a:lnSpc>
              <a:spcPct val="90000"/>
            </a:lnSpc>
            <a:spcBef>
              <a:spcPct val="0"/>
            </a:spcBef>
            <a:spcAft>
              <a:spcPct val="35000"/>
            </a:spcAft>
            <a:buNone/>
          </a:pPr>
          <a:r>
            <a:rPr lang="en-GB" sz="800" kern="1200"/>
            <a:t>Value: 12.2 </a:t>
          </a:r>
        </a:p>
        <a:p>
          <a:pPr marL="0" lvl="0" indent="0" algn="ctr" defTabSz="355600">
            <a:lnSpc>
              <a:spcPct val="90000"/>
            </a:lnSpc>
            <a:spcBef>
              <a:spcPct val="0"/>
            </a:spcBef>
            <a:spcAft>
              <a:spcPct val="35000"/>
            </a:spcAft>
            <a:buNone/>
          </a:pPr>
          <a:r>
            <a:rPr lang="en-GB" sz="800" kern="1200"/>
            <a:t>Index: 24.2 </a:t>
          </a:r>
        </a:p>
        <a:p>
          <a:pPr marL="0" lvl="0" indent="0" algn="ctr" defTabSz="355600">
            <a:lnSpc>
              <a:spcPct val="90000"/>
            </a:lnSpc>
            <a:spcBef>
              <a:spcPct val="0"/>
            </a:spcBef>
            <a:spcAft>
              <a:spcPct val="35000"/>
            </a:spcAft>
            <a:buNone/>
          </a:pPr>
          <a:r>
            <a:rPr lang="en-GB" sz="800" kern="1200"/>
            <a:t>(Source: UN/DESA, Statistics Division) </a:t>
          </a:r>
        </a:p>
      </dsp:txBody>
      <dsp:txXfrm>
        <a:off x="1494572" y="2913755"/>
        <a:ext cx="937475" cy="820619"/>
      </dsp:txXfrm>
    </dsp:sp>
    <dsp:sp modelId="{B18D55F1-8146-7445-ACDD-05FEBAEAE716}">
      <dsp:nvSpPr>
        <dsp:cNvPr id="0" name=""/>
        <dsp:cNvSpPr/>
      </dsp:nvSpPr>
      <dsp:spPr>
        <a:xfrm rot="10800000">
          <a:off x="2308337" y="1940857"/>
          <a:ext cx="235930" cy="360290"/>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rot="10800000">
        <a:off x="2379116" y="2012915"/>
        <a:ext cx="165151" cy="216174"/>
      </dsp:txXfrm>
    </dsp:sp>
    <dsp:sp modelId="{AF7AB481-2278-EF4B-B6E6-1EDFFCDE0A4F}">
      <dsp:nvSpPr>
        <dsp:cNvPr id="0" name=""/>
        <dsp:cNvSpPr/>
      </dsp:nvSpPr>
      <dsp:spPr>
        <a:xfrm>
          <a:off x="1030214" y="1644148"/>
          <a:ext cx="1166835" cy="953709"/>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Victims of natural disasters </a:t>
          </a:r>
        </a:p>
        <a:p>
          <a:pPr marL="0" lvl="0" indent="0" algn="ctr" defTabSz="355600">
            <a:lnSpc>
              <a:spcPct val="90000"/>
            </a:lnSpc>
            <a:spcBef>
              <a:spcPct val="0"/>
            </a:spcBef>
            <a:spcAft>
              <a:spcPct val="35000"/>
            </a:spcAft>
            <a:buNone/>
          </a:pPr>
          <a:r>
            <a:rPr lang="en-GB" sz="800" kern="1200"/>
            <a:t>Value: 4.292 </a:t>
          </a:r>
        </a:p>
        <a:p>
          <a:pPr marL="0" lvl="0" indent="0" algn="ctr" defTabSz="355600">
            <a:lnSpc>
              <a:spcPct val="90000"/>
            </a:lnSpc>
            <a:spcBef>
              <a:spcPct val="0"/>
            </a:spcBef>
            <a:spcAft>
              <a:spcPct val="35000"/>
            </a:spcAft>
            <a:buNone/>
          </a:pPr>
          <a:r>
            <a:rPr lang="en-GB" sz="800" kern="1200"/>
            <a:t>Index: 88.9 </a:t>
          </a:r>
        </a:p>
        <a:p>
          <a:pPr marL="0" lvl="0" indent="0" algn="ctr" defTabSz="355600">
            <a:lnSpc>
              <a:spcPct val="90000"/>
            </a:lnSpc>
            <a:spcBef>
              <a:spcPct val="0"/>
            </a:spcBef>
            <a:spcAft>
              <a:spcPct val="35000"/>
            </a:spcAft>
            <a:buNone/>
          </a:pPr>
          <a:r>
            <a:rPr lang="en-GB" sz="800" kern="1200"/>
            <a:t>(Source: EM-DAT) </a:t>
          </a:r>
        </a:p>
      </dsp:txBody>
      <dsp:txXfrm>
        <a:off x="1201093" y="1783815"/>
        <a:ext cx="825077" cy="674375"/>
      </dsp:txXfrm>
    </dsp:sp>
    <dsp:sp modelId="{73532FC8-878F-CB4D-891F-A0DFBF6FF0CB}">
      <dsp:nvSpPr>
        <dsp:cNvPr id="0" name=""/>
        <dsp:cNvSpPr/>
      </dsp:nvSpPr>
      <dsp:spPr>
        <a:xfrm rot="13452291">
          <a:off x="2473064" y="1363147"/>
          <a:ext cx="336730" cy="360290"/>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GB" sz="800" kern="1200"/>
        </a:p>
      </dsp:txBody>
      <dsp:txXfrm rot="10800000">
        <a:off x="2559781" y="1470422"/>
        <a:ext cx="235711" cy="216174"/>
      </dsp:txXfrm>
    </dsp:sp>
    <dsp:sp modelId="{D4C00EDE-0D15-8C4A-936E-DD658B3F8E54}">
      <dsp:nvSpPr>
        <dsp:cNvPr id="0" name=""/>
        <dsp:cNvSpPr/>
      </dsp:nvSpPr>
      <dsp:spPr>
        <a:xfrm>
          <a:off x="1423186" y="468258"/>
          <a:ext cx="1206452" cy="953709"/>
        </a:xfrm>
        <a:prstGeom prst="ellipse">
          <a:avLst/>
        </a:prstGeom>
        <a:solidFill>
          <a:schemeClr val="lt1">
            <a:hueOff val="0"/>
            <a:satOff val="0"/>
            <a:lumOff val="0"/>
            <a:alphaOff val="0"/>
          </a:schemeClr>
        </a:solidFill>
        <a:ln w="19050" cap="flat" cmpd="sng" algn="ctr">
          <a:solidFill>
            <a:schemeClr val="dk1">
              <a:shade val="80000"/>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GB" sz="800" b="1" kern="1200"/>
            <a:t>Instability of agricultural production </a:t>
          </a:r>
        </a:p>
        <a:p>
          <a:pPr marL="0" lvl="0" indent="0" algn="ctr" defTabSz="355600">
            <a:lnSpc>
              <a:spcPct val="90000"/>
            </a:lnSpc>
            <a:spcBef>
              <a:spcPct val="0"/>
            </a:spcBef>
            <a:spcAft>
              <a:spcPct val="35000"/>
            </a:spcAft>
            <a:buNone/>
          </a:pPr>
          <a:r>
            <a:rPr lang="en-GB" sz="800" kern="1200"/>
            <a:t>Value: 5.3 </a:t>
          </a:r>
        </a:p>
        <a:p>
          <a:pPr marL="0" lvl="0" indent="0" algn="ctr" defTabSz="355600">
            <a:lnSpc>
              <a:spcPct val="90000"/>
            </a:lnSpc>
            <a:spcBef>
              <a:spcPct val="0"/>
            </a:spcBef>
            <a:spcAft>
              <a:spcPct val="35000"/>
            </a:spcAft>
            <a:buNone/>
          </a:pPr>
          <a:r>
            <a:rPr lang="en-GB" sz="800" kern="1200"/>
            <a:t>Index: 20.4 </a:t>
          </a:r>
        </a:p>
        <a:p>
          <a:pPr marL="0" lvl="0" indent="0" algn="ctr" defTabSz="355600">
            <a:lnSpc>
              <a:spcPct val="90000"/>
            </a:lnSpc>
            <a:spcBef>
              <a:spcPct val="0"/>
            </a:spcBef>
            <a:spcAft>
              <a:spcPct val="35000"/>
            </a:spcAft>
            <a:buNone/>
          </a:pPr>
          <a:r>
            <a:rPr lang="en-GB" sz="800" kern="1200"/>
            <a:t>(Source: FAO) </a:t>
          </a:r>
        </a:p>
      </dsp:txBody>
      <dsp:txXfrm>
        <a:off x="1599867" y="607925"/>
        <a:ext cx="853090" cy="674375"/>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73F89-0199-4232-BE6E-D5AF53ED4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4334</Words>
  <Characters>24710</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Jakob Schemel</dc:creator>
  <cp:keywords/>
  <dc:description/>
  <cp:lastModifiedBy>Katia Grutter</cp:lastModifiedBy>
  <cp:revision>3</cp:revision>
  <cp:lastPrinted>2017-10-31T01:52:00Z</cp:lastPrinted>
  <dcterms:created xsi:type="dcterms:W3CDTF">2017-11-01T04:34:00Z</dcterms:created>
  <dcterms:modified xsi:type="dcterms:W3CDTF">2017-11-07T02:53:00Z</dcterms:modified>
</cp:coreProperties>
</file>